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26" w:rsidRDefault="00A10E5F">
      <w:pPr>
        <w:spacing w:line="360" w:lineRule="auto"/>
        <w:ind w:firstLineChars="200" w:firstLine="643"/>
        <w:jc w:val="center"/>
        <w:rPr>
          <w:rFonts w:asciiTheme="minorEastAsia" w:eastAsiaTheme="minorEastAsia" w:hAnsiTheme="minorEastAsia"/>
          <w:b/>
          <w:bCs/>
          <w:sz w:val="32"/>
          <w:szCs w:val="32"/>
          <w:lang w:eastAsia="zh-CN"/>
        </w:rPr>
      </w:pPr>
      <w:r>
        <w:rPr>
          <w:rFonts w:asciiTheme="minorEastAsia" w:eastAsiaTheme="minorEastAsia" w:hAnsiTheme="minorEastAsia" w:hint="eastAsia"/>
          <w:b/>
          <w:bCs/>
          <w:sz w:val="32"/>
          <w:szCs w:val="32"/>
          <w:lang w:eastAsia="zh-CN"/>
        </w:rPr>
        <w:t>河北大学医学部自动</w:t>
      </w:r>
      <w:r w:rsidR="008800F6">
        <w:rPr>
          <w:rFonts w:asciiTheme="minorEastAsia" w:eastAsiaTheme="minorEastAsia" w:hAnsiTheme="minorEastAsia" w:hint="eastAsia"/>
          <w:b/>
          <w:bCs/>
          <w:sz w:val="32"/>
          <w:szCs w:val="32"/>
          <w:lang w:eastAsia="zh-CN"/>
        </w:rPr>
        <w:t>售货机投资人采购要求</w:t>
      </w:r>
    </w:p>
    <w:p w:rsidR="00411C26" w:rsidRDefault="00411C26">
      <w:pPr>
        <w:spacing w:line="360" w:lineRule="auto"/>
        <w:ind w:firstLineChars="200" w:firstLine="643"/>
        <w:jc w:val="center"/>
        <w:rPr>
          <w:rFonts w:asciiTheme="minorEastAsia" w:eastAsiaTheme="minorEastAsia" w:hAnsiTheme="minorEastAsia"/>
          <w:b/>
          <w:bCs/>
          <w:sz w:val="32"/>
          <w:szCs w:val="32"/>
          <w:lang w:eastAsia="zh-CN"/>
        </w:rPr>
      </w:pP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自动售货机购物方便、时尚、新颖，体现了社会的进步，自动售货机服务校园，让医学部每一位学生、教职工都能体验到方便、快捷、充满新意的购物生活。现拟对部分楼宇安装自动售货机，满足师生的购物需求。</w:t>
      </w:r>
    </w:p>
    <w:p w:rsidR="00411C26" w:rsidRDefault="008800F6">
      <w:pPr>
        <w:pStyle w:val="1"/>
        <w:shd w:val="clear" w:color="auto" w:fill="auto"/>
        <w:spacing w:after="120" w:line="360" w:lineRule="auto"/>
        <w:ind w:firstLine="200"/>
        <w:rPr>
          <w:rFonts w:asciiTheme="minorEastAsia" w:eastAsiaTheme="minorEastAsia" w:hAnsiTheme="minorEastAsia"/>
          <w:b/>
          <w:sz w:val="28"/>
          <w:szCs w:val="28"/>
        </w:rPr>
      </w:pPr>
      <w:r>
        <w:rPr>
          <w:rFonts w:asciiTheme="minorEastAsia" w:eastAsiaTheme="minorEastAsia" w:hAnsiTheme="minorEastAsia"/>
          <w:b/>
          <w:sz w:val="28"/>
          <w:szCs w:val="28"/>
        </w:rPr>
        <w:t>一、设备要求</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（一）自动售货机运用智能系统和云技术，销售数据准确，有保留功能，学校可以实时监管。</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（二）自动售货机的展示位为LED照明，节能环保。内有PC设备，可支持联网运营、远程监控功能。</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（三）自动售货机功能要求</w:t>
      </w:r>
    </w:p>
    <w:tbl>
      <w:tblPr>
        <w:tblW w:w="8831" w:type="dxa"/>
        <w:jc w:val="center"/>
        <w:tblLayout w:type="fixed"/>
        <w:tblCellMar>
          <w:left w:w="10" w:type="dxa"/>
          <w:right w:w="10" w:type="dxa"/>
        </w:tblCellMar>
        <w:tblLook w:val="04A0" w:firstRow="1" w:lastRow="0" w:firstColumn="1" w:lastColumn="0" w:noHBand="0" w:noVBand="1"/>
      </w:tblPr>
      <w:tblGrid>
        <w:gridCol w:w="1396"/>
        <w:gridCol w:w="7435"/>
      </w:tblGrid>
      <w:tr w:rsidR="00411C26">
        <w:trPr>
          <w:trHeight w:hRule="exact" w:val="730"/>
          <w:jc w:val="center"/>
        </w:trPr>
        <w:tc>
          <w:tcPr>
            <w:tcW w:w="1396" w:type="dxa"/>
            <w:tcBorders>
              <w:top w:val="single" w:sz="4" w:space="0" w:color="auto"/>
              <w:left w:val="single" w:sz="4" w:space="0" w:color="auto"/>
            </w:tcBorders>
            <w:shd w:val="clear" w:color="auto" w:fill="FFFFFF"/>
            <w:vAlign w:val="center"/>
          </w:tcPr>
          <w:p w:rsidR="00411C26" w:rsidRDefault="008800F6">
            <w:pPr>
              <w:spacing w:line="360" w:lineRule="auto"/>
              <w:ind w:firstLineChars="200" w:firstLine="560"/>
              <w:rPr>
                <w:rFonts w:asciiTheme="minorEastAsia" w:eastAsiaTheme="minorEastAsia" w:hAnsiTheme="minorEastAsia"/>
                <w:sz w:val="28"/>
                <w:szCs w:val="28"/>
              </w:rPr>
            </w:pPr>
            <w:proofErr w:type="spellStart"/>
            <w:r>
              <w:rPr>
                <w:rFonts w:asciiTheme="minorEastAsia" w:eastAsiaTheme="minorEastAsia" w:hAnsiTheme="minorEastAsia" w:hint="eastAsia"/>
                <w:sz w:val="28"/>
                <w:szCs w:val="28"/>
              </w:rPr>
              <w:t>项目</w:t>
            </w:r>
            <w:proofErr w:type="spellEnd"/>
          </w:p>
        </w:tc>
        <w:tc>
          <w:tcPr>
            <w:tcW w:w="7435" w:type="dxa"/>
            <w:tcBorders>
              <w:top w:val="single" w:sz="4" w:space="0" w:color="auto"/>
              <w:left w:val="single" w:sz="4" w:space="0" w:color="auto"/>
              <w:right w:val="single" w:sz="4" w:space="0" w:color="auto"/>
            </w:tcBorders>
            <w:shd w:val="clear" w:color="auto" w:fill="FFFFFF"/>
            <w:vAlign w:val="center"/>
          </w:tcPr>
          <w:p w:rsidR="00411C26" w:rsidRDefault="008800F6">
            <w:pPr>
              <w:spacing w:line="360" w:lineRule="auto"/>
              <w:ind w:firstLineChars="200" w:firstLine="560"/>
              <w:jc w:val="center"/>
              <w:rPr>
                <w:rFonts w:asciiTheme="minorEastAsia" w:eastAsiaTheme="minorEastAsia" w:hAnsiTheme="minorEastAsia"/>
                <w:sz w:val="28"/>
                <w:szCs w:val="28"/>
              </w:rPr>
            </w:pPr>
            <w:proofErr w:type="spellStart"/>
            <w:r>
              <w:rPr>
                <w:rFonts w:asciiTheme="minorEastAsia" w:eastAsiaTheme="minorEastAsia" w:hAnsiTheme="minorEastAsia" w:hint="eastAsia"/>
                <w:sz w:val="28"/>
                <w:szCs w:val="28"/>
              </w:rPr>
              <w:t>功能要求</w:t>
            </w:r>
            <w:proofErr w:type="spellEnd"/>
          </w:p>
        </w:tc>
      </w:tr>
      <w:tr w:rsidR="00411C26">
        <w:trPr>
          <w:trHeight w:hRule="exact" w:val="730"/>
          <w:jc w:val="center"/>
        </w:trPr>
        <w:tc>
          <w:tcPr>
            <w:tcW w:w="1396" w:type="dxa"/>
            <w:tcBorders>
              <w:top w:val="single" w:sz="4" w:space="0" w:color="auto"/>
              <w:left w:val="single" w:sz="4" w:space="0" w:color="auto"/>
            </w:tcBorders>
            <w:shd w:val="clear" w:color="auto" w:fill="FFFFFF"/>
            <w:vAlign w:val="center"/>
          </w:tcPr>
          <w:p w:rsidR="00411C26" w:rsidRDefault="008800F6">
            <w:pPr>
              <w:spacing w:line="360" w:lineRule="auto"/>
              <w:ind w:firstLine="200"/>
              <w:jc w:val="center"/>
              <w:rPr>
                <w:rFonts w:asciiTheme="minorEastAsia" w:eastAsiaTheme="minorEastAsia" w:hAnsiTheme="minorEastAsia"/>
                <w:sz w:val="28"/>
                <w:szCs w:val="28"/>
              </w:rPr>
            </w:pPr>
            <w:proofErr w:type="spellStart"/>
            <w:r>
              <w:rPr>
                <w:rFonts w:asciiTheme="minorEastAsia" w:eastAsiaTheme="minorEastAsia" w:hAnsiTheme="minorEastAsia" w:hint="eastAsia"/>
                <w:sz w:val="28"/>
                <w:szCs w:val="28"/>
              </w:rPr>
              <w:t>支付方式</w:t>
            </w:r>
            <w:proofErr w:type="spellEnd"/>
          </w:p>
        </w:tc>
        <w:tc>
          <w:tcPr>
            <w:tcW w:w="7435" w:type="dxa"/>
            <w:tcBorders>
              <w:top w:val="single" w:sz="4" w:space="0" w:color="auto"/>
              <w:left w:val="single" w:sz="4" w:space="0" w:color="auto"/>
              <w:right w:val="single" w:sz="4" w:space="0" w:color="auto"/>
            </w:tcBorders>
            <w:shd w:val="clear" w:color="auto" w:fill="FFFFFF"/>
            <w:vAlign w:val="center"/>
          </w:tcPr>
          <w:p w:rsidR="00411C26" w:rsidRDefault="008800F6">
            <w:pPr>
              <w:spacing w:line="360" w:lineRule="auto"/>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刷脸、</w:t>
            </w:r>
            <w:proofErr w:type="gramStart"/>
            <w:r>
              <w:rPr>
                <w:rFonts w:asciiTheme="minorEastAsia" w:eastAsiaTheme="minorEastAsia" w:hAnsiTheme="minorEastAsia" w:hint="eastAsia"/>
                <w:sz w:val="28"/>
                <w:szCs w:val="28"/>
                <w:lang w:eastAsia="zh-CN"/>
              </w:rPr>
              <w:t>扫码支付</w:t>
            </w:r>
            <w:proofErr w:type="gramEnd"/>
            <w:r>
              <w:rPr>
                <w:rFonts w:asciiTheme="minorEastAsia" w:eastAsiaTheme="minorEastAsia" w:hAnsiTheme="minorEastAsia" w:hint="eastAsia"/>
                <w:sz w:val="28"/>
                <w:szCs w:val="28"/>
                <w:lang w:eastAsia="zh-CN"/>
              </w:rPr>
              <w:t>方式。</w:t>
            </w:r>
          </w:p>
        </w:tc>
      </w:tr>
      <w:tr w:rsidR="00411C26">
        <w:trPr>
          <w:trHeight w:hRule="exact" w:val="750"/>
          <w:jc w:val="center"/>
        </w:trPr>
        <w:tc>
          <w:tcPr>
            <w:tcW w:w="1396" w:type="dxa"/>
            <w:tcBorders>
              <w:top w:val="single" w:sz="4" w:space="0" w:color="auto"/>
              <w:left w:val="single" w:sz="4" w:space="0" w:color="auto"/>
            </w:tcBorders>
            <w:shd w:val="clear" w:color="auto" w:fill="FFFFFF"/>
            <w:vAlign w:val="center"/>
          </w:tcPr>
          <w:p w:rsidR="00411C26" w:rsidRDefault="008800F6">
            <w:pPr>
              <w:spacing w:line="360" w:lineRule="auto"/>
              <w:ind w:firstLine="200"/>
              <w:jc w:val="center"/>
              <w:rPr>
                <w:rFonts w:asciiTheme="minorEastAsia" w:eastAsiaTheme="minorEastAsia" w:hAnsiTheme="minorEastAsia"/>
                <w:sz w:val="28"/>
                <w:szCs w:val="28"/>
              </w:rPr>
            </w:pPr>
            <w:proofErr w:type="spellStart"/>
            <w:r>
              <w:rPr>
                <w:rFonts w:asciiTheme="minorEastAsia" w:eastAsiaTheme="minorEastAsia" w:hAnsiTheme="minorEastAsia" w:hint="eastAsia"/>
                <w:sz w:val="28"/>
                <w:szCs w:val="28"/>
              </w:rPr>
              <w:t>导购功能</w:t>
            </w:r>
            <w:proofErr w:type="spellEnd"/>
          </w:p>
        </w:tc>
        <w:tc>
          <w:tcPr>
            <w:tcW w:w="7435" w:type="dxa"/>
            <w:tcBorders>
              <w:top w:val="single" w:sz="4" w:space="0" w:color="auto"/>
              <w:left w:val="single" w:sz="4" w:space="0" w:color="auto"/>
              <w:right w:val="single" w:sz="4" w:space="0" w:color="auto"/>
            </w:tcBorders>
            <w:shd w:val="clear" w:color="auto" w:fill="FFFFFF"/>
            <w:vAlign w:val="center"/>
          </w:tcPr>
          <w:p w:rsidR="00411C26" w:rsidRDefault="008800F6">
            <w:pPr>
              <w:spacing w:line="360" w:lineRule="auto"/>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用户选择商品后，显示屏会出现所选商品并提示用户支付。</w:t>
            </w:r>
          </w:p>
        </w:tc>
      </w:tr>
      <w:tr w:rsidR="00411C26">
        <w:trPr>
          <w:trHeight w:hRule="exact" w:val="1049"/>
          <w:jc w:val="center"/>
        </w:trPr>
        <w:tc>
          <w:tcPr>
            <w:tcW w:w="1396" w:type="dxa"/>
            <w:tcBorders>
              <w:top w:val="single" w:sz="4" w:space="0" w:color="auto"/>
              <w:left w:val="single" w:sz="4" w:space="0" w:color="auto"/>
            </w:tcBorders>
            <w:shd w:val="clear" w:color="auto" w:fill="FFFFFF"/>
            <w:vAlign w:val="center"/>
          </w:tcPr>
          <w:p w:rsidR="00411C26" w:rsidRDefault="008800F6">
            <w:pPr>
              <w:spacing w:line="360" w:lineRule="auto"/>
              <w:ind w:firstLine="200"/>
              <w:jc w:val="center"/>
              <w:rPr>
                <w:rFonts w:asciiTheme="minorEastAsia" w:eastAsiaTheme="minorEastAsia" w:hAnsiTheme="minorEastAsia"/>
                <w:sz w:val="28"/>
                <w:szCs w:val="28"/>
              </w:rPr>
            </w:pPr>
            <w:proofErr w:type="spellStart"/>
            <w:r>
              <w:rPr>
                <w:rFonts w:asciiTheme="minorEastAsia" w:eastAsiaTheme="minorEastAsia" w:hAnsiTheme="minorEastAsia" w:hint="eastAsia"/>
                <w:sz w:val="28"/>
                <w:szCs w:val="28"/>
              </w:rPr>
              <w:t>货道结构</w:t>
            </w:r>
            <w:proofErr w:type="spellEnd"/>
          </w:p>
        </w:tc>
        <w:tc>
          <w:tcPr>
            <w:tcW w:w="7435" w:type="dxa"/>
            <w:tcBorders>
              <w:top w:val="single" w:sz="4" w:space="0" w:color="auto"/>
              <w:left w:val="single" w:sz="4" w:space="0" w:color="auto"/>
              <w:right w:val="single" w:sz="4" w:space="0" w:color="auto"/>
            </w:tcBorders>
            <w:shd w:val="clear" w:color="auto" w:fill="FFFFFF"/>
            <w:vAlign w:val="center"/>
          </w:tcPr>
          <w:p w:rsidR="00411C26" w:rsidRDefault="008800F6">
            <w:pPr>
              <w:spacing w:line="360" w:lineRule="auto"/>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对销售商品的规格和重量要求较少，杜绝商品缺货和出货时因挤压而变形的故障。</w:t>
            </w:r>
          </w:p>
        </w:tc>
      </w:tr>
      <w:tr w:rsidR="00411C26">
        <w:trPr>
          <w:trHeight w:hRule="exact" w:val="1073"/>
          <w:jc w:val="center"/>
        </w:trPr>
        <w:tc>
          <w:tcPr>
            <w:tcW w:w="1396" w:type="dxa"/>
            <w:tcBorders>
              <w:top w:val="single" w:sz="4" w:space="0" w:color="auto"/>
              <w:left w:val="single" w:sz="4" w:space="0" w:color="auto"/>
            </w:tcBorders>
            <w:shd w:val="clear" w:color="auto" w:fill="FFFFFF"/>
            <w:vAlign w:val="center"/>
          </w:tcPr>
          <w:p w:rsidR="00411C26" w:rsidRDefault="008800F6">
            <w:pPr>
              <w:spacing w:line="360" w:lineRule="auto"/>
              <w:ind w:firstLine="200"/>
              <w:jc w:val="center"/>
              <w:rPr>
                <w:rFonts w:asciiTheme="minorEastAsia" w:eastAsiaTheme="minorEastAsia" w:hAnsiTheme="minorEastAsia"/>
                <w:sz w:val="28"/>
                <w:szCs w:val="28"/>
              </w:rPr>
            </w:pPr>
            <w:proofErr w:type="spellStart"/>
            <w:r>
              <w:rPr>
                <w:rFonts w:asciiTheme="minorEastAsia" w:eastAsiaTheme="minorEastAsia" w:hAnsiTheme="minorEastAsia" w:hint="eastAsia"/>
                <w:sz w:val="28"/>
                <w:szCs w:val="28"/>
              </w:rPr>
              <w:t>电子宣传</w:t>
            </w:r>
            <w:proofErr w:type="spellEnd"/>
          </w:p>
        </w:tc>
        <w:tc>
          <w:tcPr>
            <w:tcW w:w="7435" w:type="dxa"/>
            <w:tcBorders>
              <w:top w:val="single" w:sz="4" w:space="0" w:color="auto"/>
              <w:left w:val="single" w:sz="4" w:space="0" w:color="auto"/>
              <w:right w:val="single" w:sz="4" w:space="0" w:color="auto"/>
            </w:tcBorders>
            <w:shd w:val="clear" w:color="auto" w:fill="FFFFFF"/>
            <w:vAlign w:val="center"/>
          </w:tcPr>
          <w:p w:rsidR="00411C26" w:rsidRDefault="008800F6">
            <w:pPr>
              <w:spacing w:line="360" w:lineRule="auto"/>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要求有8寸以上的高清屏幕，智能操作系统工控，无需人工干预， 即可对校园文化、安全视频、图片进行远程推送。</w:t>
            </w:r>
          </w:p>
        </w:tc>
      </w:tr>
      <w:tr w:rsidR="00411C26">
        <w:trPr>
          <w:trHeight w:hRule="exact" w:val="1066"/>
          <w:jc w:val="center"/>
        </w:trPr>
        <w:tc>
          <w:tcPr>
            <w:tcW w:w="1396" w:type="dxa"/>
            <w:tcBorders>
              <w:top w:val="single" w:sz="4" w:space="0" w:color="auto"/>
              <w:left w:val="single" w:sz="4" w:space="0" w:color="auto"/>
            </w:tcBorders>
            <w:shd w:val="clear" w:color="auto" w:fill="FFFFFF"/>
            <w:vAlign w:val="center"/>
          </w:tcPr>
          <w:p w:rsidR="00411C26" w:rsidRDefault="008800F6">
            <w:pPr>
              <w:spacing w:line="360" w:lineRule="auto"/>
              <w:ind w:firstLine="200"/>
              <w:jc w:val="center"/>
              <w:rPr>
                <w:rFonts w:asciiTheme="minorEastAsia" w:eastAsiaTheme="minorEastAsia" w:hAnsiTheme="minorEastAsia"/>
                <w:sz w:val="28"/>
                <w:szCs w:val="28"/>
              </w:rPr>
            </w:pPr>
            <w:proofErr w:type="spellStart"/>
            <w:r>
              <w:rPr>
                <w:rFonts w:asciiTheme="minorEastAsia" w:eastAsiaTheme="minorEastAsia" w:hAnsiTheme="minorEastAsia" w:hint="eastAsia"/>
                <w:sz w:val="28"/>
                <w:szCs w:val="28"/>
              </w:rPr>
              <w:t>营运管理</w:t>
            </w:r>
            <w:proofErr w:type="spellEnd"/>
          </w:p>
        </w:tc>
        <w:tc>
          <w:tcPr>
            <w:tcW w:w="7435" w:type="dxa"/>
            <w:tcBorders>
              <w:top w:val="single" w:sz="4" w:space="0" w:color="auto"/>
              <w:left w:val="single" w:sz="4" w:space="0" w:color="auto"/>
              <w:right w:val="single" w:sz="4" w:space="0" w:color="auto"/>
            </w:tcBorders>
            <w:shd w:val="clear" w:color="auto" w:fill="FFFFFF"/>
            <w:vAlign w:val="center"/>
          </w:tcPr>
          <w:p w:rsidR="00411C26" w:rsidRDefault="008800F6">
            <w:pPr>
              <w:spacing w:line="360" w:lineRule="auto"/>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通过后台管理系统，能够实时了解售货机的销售和故障情况，以便安排商品配送、售后服务和机器维护工作。</w:t>
            </w:r>
          </w:p>
        </w:tc>
      </w:tr>
      <w:tr w:rsidR="00411C26">
        <w:trPr>
          <w:trHeight w:hRule="exact" w:val="1092"/>
          <w:jc w:val="center"/>
        </w:trPr>
        <w:tc>
          <w:tcPr>
            <w:tcW w:w="1396" w:type="dxa"/>
            <w:tcBorders>
              <w:top w:val="single" w:sz="4" w:space="0" w:color="auto"/>
              <w:left w:val="single" w:sz="4" w:space="0" w:color="auto"/>
              <w:bottom w:val="single" w:sz="4" w:space="0" w:color="auto"/>
            </w:tcBorders>
            <w:shd w:val="clear" w:color="auto" w:fill="FFFFFF"/>
            <w:vAlign w:val="center"/>
          </w:tcPr>
          <w:p w:rsidR="00411C26" w:rsidRDefault="008800F6">
            <w:pPr>
              <w:spacing w:line="360" w:lineRule="auto"/>
              <w:ind w:firstLine="200"/>
              <w:jc w:val="center"/>
              <w:rPr>
                <w:rFonts w:asciiTheme="minorEastAsia" w:eastAsiaTheme="minorEastAsia" w:hAnsiTheme="minorEastAsia"/>
                <w:sz w:val="28"/>
                <w:szCs w:val="28"/>
              </w:rPr>
            </w:pPr>
            <w:proofErr w:type="spellStart"/>
            <w:r>
              <w:rPr>
                <w:rFonts w:asciiTheme="minorEastAsia" w:eastAsiaTheme="minorEastAsia" w:hAnsiTheme="minorEastAsia" w:hint="eastAsia"/>
                <w:sz w:val="28"/>
                <w:szCs w:val="28"/>
              </w:rPr>
              <w:t>功能要求</w:t>
            </w:r>
            <w:proofErr w:type="spellEnd"/>
          </w:p>
        </w:tc>
        <w:tc>
          <w:tcPr>
            <w:tcW w:w="7435" w:type="dxa"/>
            <w:tcBorders>
              <w:top w:val="single" w:sz="4" w:space="0" w:color="auto"/>
              <w:left w:val="single" w:sz="4" w:space="0" w:color="auto"/>
              <w:bottom w:val="single" w:sz="4" w:space="0" w:color="auto"/>
              <w:right w:val="single" w:sz="4" w:space="0" w:color="auto"/>
            </w:tcBorders>
            <w:shd w:val="clear" w:color="auto" w:fill="FFFFFF"/>
            <w:vAlign w:val="center"/>
          </w:tcPr>
          <w:p w:rsidR="00411C26" w:rsidRDefault="008800F6">
            <w:pPr>
              <w:spacing w:line="360" w:lineRule="auto"/>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带实物展示位类型。展示销售商品20种以上，产品带有制冷功能。</w:t>
            </w:r>
          </w:p>
        </w:tc>
      </w:tr>
    </w:tbl>
    <w:p w:rsidR="00411C26" w:rsidRDefault="00411C26">
      <w:pPr>
        <w:spacing w:after="239" w:line="360" w:lineRule="auto"/>
        <w:ind w:firstLine="200"/>
        <w:rPr>
          <w:rFonts w:asciiTheme="minorEastAsia" w:eastAsiaTheme="minorEastAsia" w:hAnsiTheme="minorEastAsia"/>
          <w:sz w:val="28"/>
          <w:szCs w:val="28"/>
          <w:lang w:eastAsia="zh-CN"/>
        </w:rPr>
      </w:pPr>
    </w:p>
    <w:p w:rsidR="00411C26" w:rsidRDefault="008800F6">
      <w:pPr>
        <w:pStyle w:val="1"/>
        <w:numPr>
          <w:ilvl w:val="0"/>
          <w:numId w:val="1"/>
        </w:numPr>
        <w:shd w:val="clear" w:color="auto" w:fill="auto"/>
        <w:spacing w:after="120" w:line="360" w:lineRule="auto"/>
        <w:ind w:firstLine="200"/>
        <w:rPr>
          <w:rFonts w:asciiTheme="minorEastAsia" w:eastAsiaTheme="minorEastAsia" w:hAnsiTheme="minorEastAsia"/>
          <w:b/>
          <w:sz w:val="28"/>
          <w:szCs w:val="28"/>
          <w:lang w:val="en-US"/>
        </w:rPr>
      </w:pPr>
      <w:r>
        <w:rPr>
          <w:rFonts w:asciiTheme="minorEastAsia" w:eastAsiaTheme="minorEastAsia" w:hAnsiTheme="minorEastAsia" w:hint="eastAsia"/>
          <w:b/>
          <w:sz w:val="28"/>
          <w:szCs w:val="28"/>
          <w:lang w:val="en-US"/>
        </w:rPr>
        <w:lastRenderedPageBreak/>
        <w:t>服务要求</w:t>
      </w:r>
    </w:p>
    <w:p w:rsidR="00411C26" w:rsidRDefault="008800F6">
      <w:pPr>
        <w:numPr>
          <w:ilvl w:val="0"/>
          <w:numId w:val="2"/>
        </w:numPr>
        <w:spacing w:line="360" w:lineRule="auto"/>
        <w:ind w:firstLine="20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自动售货机摆放位置及数量</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自动售货机摆放位置保持在现有位置，学生宿舍各楼共5台，教学楼区5台，共10台自动售货机。如后期自动售货机需要调整位置，需向学校申请批准后实施。</w:t>
      </w:r>
    </w:p>
    <w:tbl>
      <w:tblPr>
        <w:tblpPr w:leftFromText="180" w:rightFromText="180" w:vertAnchor="text" w:horzAnchor="margin" w:tblpY="546"/>
        <w:tblOverlap w:val="never"/>
        <w:tblW w:w="8505" w:type="dxa"/>
        <w:tblLayout w:type="fixed"/>
        <w:tblLook w:val="04A0" w:firstRow="1" w:lastRow="0" w:firstColumn="1" w:lastColumn="0" w:noHBand="0" w:noVBand="1"/>
      </w:tblPr>
      <w:tblGrid>
        <w:gridCol w:w="1417"/>
        <w:gridCol w:w="1885"/>
        <w:gridCol w:w="1584"/>
        <w:gridCol w:w="2016"/>
        <w:gridCol w:w="1603"/>
      </w:tblGrid>
      <w:tr w:rsidR="00411C26">
        <w:trPr>
          <w:trHeight w:val="293"/>
        </w:trPr>
        <w:tc>
          <w:tcPr>
            <w:tcW w:w="1417"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center"/>
              <w:rPr>
                <w:rFonts w:asciiTheme="minorEastAsia" w:eastAsiaTheme="minorEastAsia" w:hAnsiTheme="minorEastAsia"/>
                <w:sz w:val="28"/>
                <w:szCs w:val="28"/>
              </w:rPr>
            </w:pPr>
            <w:proofErr w:type="spellStart"/>
            <w:r>
              <w:rPr>
                <w:rFonts w:asciiTheme="minorEastAsia" w:eastAsiaTheme="minorEastAsia" w:hAnsiTheme="minorEastAsia" w:hint="eastAsia"/>
                <w:sz w:val="28"/>
                <w:szCs w:val="28"/>
              </w:rPr>
              <w:t>序号</w:t>
            </w:r>
            <w:proofErr w:type="spellEnd"/>
          </w:p>
        </w:tc>
        <w:tc>
          <w:tcPr>
            <w:tcW w:w="1885"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center"/>
              <w:rPr>
                <w:rFonts w:asciiTheme="minorEastAsia" w:eastAsiaTheme="minorEastAsia" w:hAnsiTheme="minorEastAsia"/>
                <w:sz w:val="28"/>
                <w:szCs w:val="28"/>
              </w:rPr>
            </w:pPr>
            <w:proofErr w:type="spellStart"/>
            <w:r>
              <w:rPr>
                <w:rFonts w:asciiTheme="minorEastAsia" w:eastAsiaTheme="minorEastAsia" w:hAnsiTheme="minorEastAsia" w:hint="eastAsia"/>
                <w:sz w:val="28"/>
                <w:szCs w:val="28"/>
              </w:rPr>
              <w:t>位置</w:t>
            </w:r>
            <w:proofErr w:type="spellEnd"/>
          </w:p>
        </w:tc>
        <w:tc>
          <w:tcPr>
            <w:tcW w:w="1584"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center"/>
              <w:rPr>
                <w:rFonts w:asciiTheme="minorEastAsia" w:eastAsiaTheme="minorEastAsia" w:hAnsiTheme="minorEastAsia"/>
                <w:sz w:val="28"/>
                <w:szCs w:val="28"/>
              </w:rPr>
            </w:pPr>
            <w:proofErr w:type="spellStart"/>
            <w:r>
              <w:rPr>
                <w:rFonts w:asciiTheme="minorEastAsia" w:eastAsiaTheme="minorEastAsia" w:hAnsiTheme="minorEastAsia" w:hint="eastAsia"/>
                <w:sz w:val="28"/>
                <w:szCs w:val="28"/>
              </w:rPr>
              <w:t>投放数量</w:t>
            </w:r>
            <w:proofErr w:type="spellEnd"/>
          </w:p>
        </w:tc>
        <w:tc>
          <w:tcPr>
            <w:tcW w:w="2016"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jc w:val="center"/>
              <w:rPr>
                <w:rFonts w:asciiTheme="minorEastAsia" w:eastAsiaTheme="minorEastAsia" w:hAnsiTheme="minorEastAsia"/>
                <w:sz w:val="28"/>
                <w:szCs w:val="28"/>
              </w:rPr>
            </w:pPr>
            <w:proofErr w:type="spellStart"/>
            <w:r>
              <w:rPr>
                <w:rFonts w:asciiTheme="minorEastAsia" w:eastAsiaTheme="minorEastAsia" w:hAnsiTheme="minorEastAsia" w:hint="eastAsia"/>
                <w:sz w:val="28"/>
                <w:szCs w:val="28"/>
              </w:rPr>
              <w:t>单项金额（元</w:t>
            </w:r>
            <w:proofErr w:type="spellEnd"/>
            <w:r>
              <w:rPr>
                <w:rFonts w:asciiTheme="minorEastAsia" w:eastAsiaTheme="minorEastAsia" w:hAnsiTheme="minorEastAsia" w:hint="eastAsia"/>
                <w:sz w:val="28"/>
                <w:szCs w:val="28"/>
              </w:rPr>
              <w:t>）</w:t>
            </w:r>
          </w:p>
        </w:tc>
        <w:tc>
          <w:tcPr>
            <w:tcW w:w="1603"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center"/>
              <w:rPr>
                <w:rFonts w:asciiTheme="minorEastAsia" w:eastAsiaTheme="minorEastAsia" w:hAnsiTheme="minorEastAsia"/>
                <w:sz w:val="28"/>
                <w:szCs w:val="28"/>
              </w:rPr>
            </w:pPr>
            <w:proofErr w:type="spellStart"/>
            <w:r>
              <w:rPr>
                <w:rFonts w:asciiTheme="minorEastAsia" w:eastAsiaTheme="minorEastAsia" w:hAnsiTheme="minorEastAsia" w:hint="eastAsia"/>
                <w:sz w:val="28"/>
                <w:szCs w:val="28"/>
              </w:rPr>
              <w:t>小计（元</w:t>
            </w:r>
            <w:proofErr w:type="spellEnd"/>
            <w:r>
              <w:rPr>
                <w:rFonts w:asciiTheme="minorEastAsia" w:eastAsiaTheme="minorEastAsia" w:hAnsiTheme="minorEastAsia" w:hint="eastAsia"/>
                <w:sz w:val="28"/>
                <w:szCs w:val="28"/>
              </w:rPr>
              <w:t>）</w:t>
            </w:r>
          </w:p>
        </w:tc>
      </w:tr>
      <w:tr w:rsidR="00411C26">
        <w:tc>
          <w:tcPr>
            <w:tcW w:w="1417"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c>
          <w:tcPr>
            <w:tcW w:w="1885"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proofErr w:type="gramStart"/>
            <w:r>
              <w:rPr>
                <w:rFonts w:asciiTheme="minorEastAsia" w:eastAsiaTheme="minorEastAsia" w:hAnsiTheme="minorEastAsia" w:hint="eastAsia"/>
                <w:sz w:val="28"/>
                <w:szCs w:val="28"/>
                <w:lang w:eastAsia="zh-CN"/>
              </w:rPr>
              <w:t>基础楼</w:t>
            </w:r>
            <w:proofErr w:type="gramEnd"/>
          </w:p>
        </w:tc>
        <w:tc>
          <w:tcPr>
            <w:tcW w:w="1584"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rPr>
            </w:pPr>
            <w:r>
              <w:rPr>
                <w:rFonts w:asciiTheme="minorEastAsia" w:eastAsiaTheme="minorEastAsia" w:hAnsiTheme="minorEastAsia" w:hint="eastAsia"/>
                <w:sz w:val="28"/>
                <w:szCs w:val="28"/>
              </w:rPr>
              <w:t>1台</w:t>
            </w:r>
          </w:p>
        </w:tc>
        <w:tc>
          <w:tcPr>
            <w:tcW w:w="2016"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6000</w:t>
            </w:r>
          </w:p>
        </w:tc>
        <w:tc>
          <w:tcPr>
            <w:tcW w:w="1603" w:type="dxa"/>
            <w:tcBorders>
              <w:top w:val="single" w:sz="0" w:space="0" w:color="auto"/>
              <w:left w:val="single" w:sz="0" w:space="0" w:color="auto"/>
              <w:bottom w:val="single" w:sz="0" w:space="0" w:color="auto"/>
              <w:right w:val="single" w:sz="0" w:space="0" w:color="auto"/>
            </w:tcBorders>
            <w:vAlign w:val="center"/>
          </w:tcPr>
          <w:p w:rsidR="00411C26" w:rsidRDefault="00411C26">
            <w:pPr>
              <w:spacing w:line="360" w:lineRule="auto"/>
              <w:ind w:firstLine="200"/>
              <w:jc w:val="both"/>
              <w:rPr>
                <w:rFonts w:asciiTheme="minorEastAsia" w:eastAsiaTheme="minorEastAsia" w:hAnsiTheme="minorEastAsia"/>
                <w:sz w:val="28"/>
                <w:szCs w:val="28"/>
              </w:rPr>
            </w:pPr>
          </w:p>
        </w:tc>
      </w:tr>
      <w:tr w:rsidR="00411C26">
        <w:tc>
          <w:tcPr>
            <w:tcW w:w="1417"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2</w:t>
            </w:r>
          </w:p>
        </w:tc>
        <w:tc>
          <w:tcPr>
            <w:tcW w:w="1885"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图书馆</w:t>
            </w:r>
          </w:p>
        </w:tc>
        <w:tc>
          <w:tcPr>
            <w:tcW w:w="1584"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rPr>
            </w:pPr>
            <w:r>
              <w:rPr>
                <w:rFonts w:asciiTheme="minorEastAsia" w:eastAsiaTheme="minorEastAsia" w:hAnsiTheme="minorEastAsia" w:hint="eastAsia"/>
                <w:sz w:val="28"/>
                <w:szCs w:val="28"/>
              </w:rPr>
              <w:t>1台</w:t>
            </w:r>
          </w:p>
        </w:tc>
        <w:tc>
          <w:tcPr>
            <w:tcW w:w="2016"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6000</w:t>
            </w:r>
          </w:p>
        </w:tc>
        <w:tc>
          <w:tcPr>
            <w:tcW w:w="1603" w:type="dxa"/>
            <w:tcBorders>
              <w:top w:val="single" w:sz="0" w:space="0" w:color="auto"/>
              <w:left w:val="single" w:sz="0" w:space="0" w:color="auto"/>
              <w:bottom w:val="single" w:sz="0" w:space="0" w:color="auto"/>
              <w:right w:val="single" w:sz="0" w:space="0" w:color="auto"/>
            </w:tcBorders>
            <w:vAlign w:val="center"/>
          </w:tcPr>
          <w:p w:rsidR="00411C26" w:rsidRDefault="00411C26">
            <w:pPr>
              <w:spacing w:line="360" w:lineRule="auto"/>
              <w:ind w:firstLine="200"/>
              <w:jc w:val="both"/>
              <w:rPr>
                <w:rFonts w:asciiTheme="minorEastAsia" w:eastAsiaTheme="minorEastAsia" w:hAnsiTheme="minorEastAsia"/>
                <w:sz w:val="28"/>
                <w:szCs w:val="28"/>
              </w:rPr>
            </w:pPr>
          </w:p>
        </w:tc>
      </w:tr>
      <w:tr w:rsidR="00411C26">
        <w:tc>
          <w:tcPr>
            <w:tcW w:w="1417"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3</w:t>
            </w:r>
          </w:p>
        </w:tc>
        <w:tc>
          <w:tcPr>
            <w:tcW w:w="1885"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综合楼</w:t>
            </w:r>
          </w:p>
        </w:tc>
        <w:tc>
          <w:tcPr>
            <w:tcW w:w="1584"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rPr>
            </w:pPr>
            <w:r>
              <w:rPr>
                <w:rFonts w:asciiTheme="minorEastAsia" w:eastAsiaTheme="minorEastAsia" w:hAnsiTheme="minorEastAsia" w:hint="eastAsia"/>
                <w:sz w:val="28"/>
                <w:szCs w:val="28"/>
              </w:rPr>
              <w:t>1台</w:t>
            </w:r>
          </w:p>
        </w:tc>
        <w:tc>
          <w:tcPr>
            <w:tcW w:w="2016"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6000</w:t>
            </w:r>
          </w:p>
        </w:tc>
        <w:tc>
          <w:tcPr>
            <w:tcW w:w="1603" w:type="dxa"/>
            <w:tcBorders>
              <w:top w:val="single" w:sz="0" w:space="0" w:color="auto"/>
              <w:left w:val="single" w:sz="0" w:space="0" w:color="auto"/>
              <w:bottom w:val="single" w:sz="0" w:space="0" w:color="auto"/>
              <w:right w:val="single" w:sz="0" w:space="0" w:color="auto"/>
            </w:tcBorders>
            <w:vAlign w:val="center"/>
          </w:tcPr>
          <w:p w:rsidR="00411C26" w:rsidRDefault="00411C26">
            <w:pPr>
              <w:spacing w:line="360" w:lineRule="auto"/>
              <w:ind w:firstLine="200"/>
              <w:jc w:val="both"/>
              <w:rPr>
                <w:rFonts w:asciiTheme="minorEastAsia" w:eastAsiaTheme="minorEastAsia" w:hAnsiTheme="minorEastAsia"/>
                <w:sz w:val="28"/>
                <w:szCs w:val="28"/>
              </w:rPr>
            </w:pPr>
          </w:p>
        </w:tc>
      </w:tr>
      <w:tr w:rsidR="00411C26">
        <w:tc>
          <w:tcPr>
            <w:tcW w:w="1417"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4</w:t>
            </w:r>
          </w:p>
        </w:tc>
        <w:tc>
          <w:tcPr>
            <w:tcW w:w="1885"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proofErr w:type="gramStart"/>
            <w:r>
              <w:rPr>
                <w:rFonts w:asciiTheme="minorEastAsia" w:eastAsiaTheme="minorEastAsia" w:hAnsiTheme="minorEastAsia" w:hint="eastAsia"/>
                <w:sz w:val="28"/>
                <w:szCs w:val="28"/>
                <w:lang w:eastAsia="zh-CN"/>
              </w:rPr>
              <w:t>一</w:t>
            </w:r>
            <w:proofErr w:type="gramEnd"/>
            <w:r>
              <w:rPr>
                <w:rFonts w:asciiTheme="minorEastAsia" w:eastAsiaTheme="minorEastAsia" w:hAnsiTheme="minorEastAsia" w:hint="eastAsia"/>
                <w:sz w:val="28"/>
                <w:szCs w:val="28"/>
                <w:lang w:eastAsia="zh-CN"/>
              </w:rPr>
              <w:t>食堂</w:t>
            </w:r>
          </w:p>
        </w:tc>
        <w:tc>
          <w:tcPr>
            <w:tcW w:w="1584"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rPr>
            </w:pPr>
            <w:r>
              <w:rPr>
                <w:rFonts w:asciiTheme="minorEastAsia" w:eastAsiaTheme="minorEastAsia" w:hAnsiTheme="minorEastAsia" w:hint="eastAsia"/>
                <w:sz w:val="28"/>
                <w:szCs w:val="28"/>
              </w:rPr>
              <w:t>1台</w:t>
            </w:r>
          </w:p>
        </w:tc>
        <w:tc>
          <w:tcPr>
            <w:tcW w:w="2016"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6000</w:t>
            </w:r>
          </w:p>
        </w:tc>
        <w:tc>
          <w:tcPr>
            <w:tcW w:w="1603" w:type="dxa"/>
            <w:tcBorders>
              <w:top w:val="single" w:sz="0" w:space="0" w:color="auto"/>
              <w:left w:val="single" w:sz="0" w:space="0" w:color="auto"/>
              <w:bottom w:val="single" w:sz="0" w:space="0" w:color="auto"/>
              <w:right w:val="single" w:sz="0" w:space="0" w:color="auto"/>
            </w:tcBorders>
            <w:vAlign w:val="center"/>
          </w:tcPr>
          <w:p w:rsidR="00411C26" w:rsidRDefault="00411C26">
            <w:pPr>
              <w:spacing w:line="360" w:lineRule="auto"/>
              <w:ind w:firstLine="200"/>
              <w:jc w:val="both"/>
              <w:rPr>
                <w:rFonts w:asciiTheme="minorEastAsia" w:eastAsiaTheme="minorEastAsia" w:hAnsiTheme="minorEastAsia"/>
                <w:sz w:val="28"/>
                <w:szCs w:val="28"/>
              </w:rPr>
            </w:pPr>
          </w:p>
        </w:tc>
      </w:tr>
      <w:tr w:rsidR="00411C26">
        <w:tc>
          <w:tcPr>
            <w:tcW w:w="1417"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5</w:t>
            </w:r>
          </w:p>
        </w:tc>
        <w:tc>
          <w:tcPr>
            <w:tcW w:w="1885"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新教学楼</w:t>
            </w:r>
          </w:p>
        </w:tc>
        <w:tc>
          <w:tcPr>
            <w:tcW w:w="1584"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rPr>
            </w:pPr>
            <w:r>
              <w:rPr>
                <w:rFonts w:asciiTheme="minorEastAsia" w:eastAsiaTheme="minorEastAsia" w:hAnsiTheme="minorEastAsia" w:hint="eastAsia"/>
                <w:sz w:val="28"/>
                <w:szCs w:val="28"/>
              </w:rPr>
              <w:t>1台</w:t>
            </w:r>
          </w:p>
        </w:tc>
        <w:tc>
          <w:tcPr>
            <w:tcW w:w="2016"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6000</w:t>
            </w:r>
          </w:p>
        </w:tc>
        <w:tc>
          <w:tcPr>
            <w:tcW w:w="1603" w:type="dxa"/>
            <w:tcBorders>
              <w:top w:val="single" w:sz="0" w:space="0" w:color="auto"/>
              <w:left w:val="single" w:sz="0" w:space="0" w:color="auto"/>
              <w:bottom w:val="single" w:sz="0" w:space="0" w:color="auto"/>
              <w:right w:val="single" w:sz="0" w:space="0" w:color="auto"/>
            </w:tcBorders>
            <w:vAlign w:val="center"/>
          </w:tcPr>
          <w:p w:rsidR="00411C26" w:rsidRDefault="00411C26">
            <w:pPr>
              <w:spacing w:line="360" w:lineRule="auto"/>
              <w:ind w:firstLine="200"/>
              <w:jc w:val="both"/>
              <w:rPr>
                <w:rFonts w:asciiTheme="minorEastAsia" w:eastAsiaTheme="minorEastAsia" w:hAnsiTheme="minorEastAsia"/>
                <w:sz w:val="28"/>
                <w:szCs w:val="28"/>
              </w:rPr>
            </w:pPr>
          </w:p>
        </w:tc>
      </w:tr>
      <w:tr w:rsidR="00411C26">
        <w:tc>
          <w:tcPr>
            <w:tcW w:w="1417"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6</w:t>
            </w:r>
          </w:p>
        </w:tc>
        <w:tc>
          <w:tcPr>
            <w:tcW w:w="1885"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一号公寓</w:t>
            </w:r>
          </w:p>
        </w:tc>
        <w:tc>
          <w:tcPr>
            <w:tcW w:w="1584"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rPr>
            </w:pPr>
            <w:r>
              <w:rPr>
                <w:rFonts w:asciiTheme="minorEastAsia" w:eastAsiaTheme="minorEastAsia" w:hAnsiTheme="minorEastAsia" w:hint="eastAsia"/>
                <w:sz w:val="28"/>
                <w:szCs w:val="28"/>
              </w:rPr>
              <w:t>1台</w:t>
            </w:r>
          </w:p>
        </w:tc>
        <w:tc>
          <w:tcPr>
            <w:tcW w:w="2016"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6000</w:t>
            </w:r>
          </w:p>
        </w:tc>
        <w:tc>
          <w:tcPr>
            <w:tcW w:w="1603" w:type="dxa"/>
            <w:tcBorders>
              <w:top w:val="single" w:sz="0" w:space="0" w:color="auto"/>
              <w:left w:val="single" w:sz="0" w:space="0" w:color="auto"/>
              <w:bottom w:val="single" w:sz="0" w:space="0" w:color="auto"/>
              <w:right w:val="single" w:sz="0" w:space="0" w:color="auto"/>
            </w:tcBorders>
            <w:vAlign w:val="center"/>
          </w:tcPr>
          <w:p w:rsidR="00411C26" w:rsidRDefault="00411C26">
            <w:pPr>
              <w:spacing w:line="360" w:lineRule="auto"/>
              <w:ind w:firstLine="200"/>
              <w:jc w:val="both"/>
              <w:rPr>
                <w:rFonts w:asciiTheme="minorEastAsia" w:eastAsiaTheme="minorEastAsia" w:hAnsiTheme="minorEastAsia"/>
                <w:sz w:val="28"/>
                <w:szCs w:val="28"/>
              </w:rPr>
            </w:pPr>
          </w:p>
        </w:tc>
      </w:tr>
      <w:tr w:rsidR="00411C26">
        <w:tc>
          <w:tcPr>
            <w:tcW w:w="1417"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7</w:t>
            </w:r>
          </w:p>
        </w:tc>
        <w:tc>
          <w:tcPr>
            <w:tcW w:w="1885"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二号公寓</w:t>
            </w:r>
          </w:p>
        </w:tc>
        <w:tc>
          <w:tcPr>
            <w:tcW w:w="1584"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rPr>
            </w:pPr>
            <w:r>
              <w:rPr>
                <w:rFonts w:asciiTheme="minorEastAsia" w:eastAsiaTheme="minorEastAsia" w:hAnsiTheme="minorEastAsia" w:hint="eastAsia"/>
                <w:sz w:val="28"/>
                <w:szCs w:val="28"/>
              </w:rPr>
              <w:t>1台</w:t>
            </w:r>
          </w:p>
        </w:tc>
        <w:tc>
          <w:tcPr>
            <w:tcW w:w="2016"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6000</w:t>
            </w:r>
          </w:p>
        </w:tc>
        <w:tc>
          <w:tcPr>
            <w:tcW w:w="1603" w:type="dxa"/>
            <w:tcBorders>
              <w:top w:val="single" w:sz="0" w:space="0" w:color="auto"/>
              <w:left w:val="single" w:sz="0" w:space="0" w:color="auto"/>
              <w:bottom w:val="single" w:sz="0" w:space="0" w:color="auto"/>
              <w:right w:val="single" w:sz="0" w:space="0" w:color="auto"/>
            </w:tcBorders>
            <w:vAlign w:val="center"/>
          </w:tcPr>
          <w:p w:rsidR="00411C26" w:rsidRDefault="00411C26">
            <w:pPr>
              <w:spacing w:line="360" w:lineRule="auto"/>
              <w:ind w:firstLine="200"/>
              <w:jc w:val="both"/>
              <w:rPr>
                <w:rFonts w:asciiTheme="minorEastAsia" w:eastAsiaTheme="minorEastAsia" w:hAnsiTheme="minorEastAsia"/>
                <w:sz w:val="28"/>
                <w:szCs w:val="28"/>
              </w:rPr>
            </w:pPr>
          </w:p>
        </w:tc>
      </w:tr>
      <w:tr w:rsidR="00411C26">
        <w:tc>
          <w:tcPr>
            <w:tcW w:w="1417"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8</w:t>
            </w:r>
          </w:p>
        </w:tc>
        <w:tc>
          <w:tcPr>
            <w:tcW w:w="1885"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三号公寓</w:t>
            </w:r>
          </w:p>
        </w:tc>
        <w:tc>
          <w:tcPr>
            <w:tcW w:w="1584"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rPr>
            </w:pPr>
            <w:r>
              <w:rPr>
                <w:rFonts w:asciiTheme="minorEastAsia" w:eastAsiaTheme="minorEastAsia" w:hAnsiTheme="minorEastAsia" w:hint="eastAsia"/>
                <w:sz w:val="28"/>
                <w:szCs w:val="28"/>
              </w:rPr>
              <w:t>1台</w:t>
            </w:r>
          </w:p>
        </w:tc>
        <w:tc>
          <w:tcPr>
            <w:tcW w:w="2016"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6000</w:t>
            </w:r>
          </w:p>
        </w:tc>
        <w:tc>
          <w:tcPr>
            <w:tcW w:w="1603" w:type="dxa"/>
            <w:tcBorders>
              <w:top w:val="single" w:sz="0" w:space="0" w:color="auto"/>
              <w:left w:val="single" w:sz="0" w:space="0" w:color="auto"/>
              <w:bottom w:val="single" w:sz="0" w:space="0" w:color="auto"/>
              <w:right w:val="single" w:sz="0" w:space="0" w:color="auto"/>
            </w:tcBorders>
            <w:vAlign w:val="center"/>
          </w:tcPr>
          <w:p w:rsidR="00411C26" w:rsidRDefault="00411C26">
            <w:pPr>
              <w:spacing w:line="360" w:lineRule="auto"/>
              <w:ind w:firstLine="200"/>
              <w:jc w:val="both"/>
              <w:rPr>
                <w:rFonts w:asciiTheme="minorEastAsia" w:eastAsiaTheme="minorEastAsia" w:hAnsiTheme="minorEastAsia"/>
                <w:sz w:val="28"/>
                <w:szCs w:val="28"/>
              </w:rPr>
            </w:pPr>
          </w:p>
        </w:tc>
      </w:tr>
      <w:tr w:rsidR="00411C26">
        <w:tc>
          <w:tcPr>
            <w:tcW w:w="1417"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9</w:t>
            </w:r>
          </w:p>
        </w:tc>
        <w:tc>
          <w:tcPr>
            <w:tcW w:w="1885"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四号公寓</w:t>
            </w:r>
          </w:p>
        </w:tc>
        <w:tc>
          <w:tcPr>
            <w:tcW w:w="1584"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rPr>
            </w:pPr>
            <w:r>
              <w:rPr>
                <w:rFonts w:asciiTheme="minorEastAsia" w:eastAsiaTheme="minorEastAsia" w:hAnsiTheme="minorEastAsia" w:hint="eastAsia"/>
                <w:sz w:val="28"/>
                <w:szCs w:val="28"/>
              </w:rPr>
              <w:t>1台</w:t>
            </w:r>
          </w:p>
        </w:tc>
        <w:tc>
          <w:tcPr>
            <w:tcW w:w="2016"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6000</w:t>
            </w:r>
          </w:p>
        </w:tc>
        <w:tc>
          <w:tcPr>
            <w:tcW w:w="1603" w:type="dxa"/>
            <w:tcBorders>
              <w:top w:val="single" w:sz="0" w:space="0" w:color="auto"/>
              <w:left w:val="single" w:sz="0" w:space="0" w:color="auto"/>
              <w:bottom w:val="single" w:sz="0" w:space="0" w:color="auto"/>
              <w:right w:val="single" w:sz="0" w:space="0" w:color="auto"/>
            </w:tcBorders>
            <w:vAlign w:val="center"/>
          </w:tcPr>
          <w:p w:rsidR="00411C26" w:rsidRDefault="00411C26">
            <w:pPr>
              <w:spacing w:line="360" w:lineRule="auto"/>
              <w:ind w:firstLine="200"/>
              <w:jc w:val="both"/>
              <w:rPr>
                <w:rFonts w:asciiTheme="minorEastAsia" w:eastAsiaTheme="minorEastAsia" w:hAnsiTheme="minorEastAsia"/>
                <w:sz w:val="28"/>
                <w:szCs w:val="28"/>
              </w:rPr>
            </w:pPr>
          </w:p>
        </w:tc>
      </w:tr>
      <w:tr w:rsidR="00411C26">
        <w:tc>
          <w:tcPr>
            <w:tcW w:w="1417"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10</w:t>
            </w:r>
          </w:p>
        </w:tc>
        <w:tc>
          <w:tcPr>
            <w:tcW w:w="1885"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rPr>
            </w:pPr>
            <w:r>
              <w:rPr>
                <w:rFonts w:asciiTheme="minorEastAsia" w:eastAsiaTheme="minorEastAsia" w:hAnsiTheme="minorEastAsia" w:hint="eastAsia"/>
                <w:sz w:val="28"/>
                <w:szCs w:val="28"/>
                <w:lang w:eastAsia="zh-CN"/>
              </w:rPr>
              <w:t>五号</w:t>
            </w:r>
            <w:proofErr w:type="spellStart"/>
            <w:r>
              <w:rPr>
                <w:rFonts w:asciiTheme="minorEastAsia" w:eastAsiaTheme="minorEastAsia" w:hAnsiTheme="minorEastAsia" w:hint="eastAsia"/>
                <w:sz w:val="28"/>
                <w:szCs w:val="28"/>
              </w:rPr>
              <w:t>公寓</w:t>
            </w:r>
            <w:proofErr w:type="spellEnd"/>
          </w:p>
        </w:tc>
        <w:tc>
          <w:tcPr>
            <w:tcW w:w="1584"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rPr>
            </w:pPr>
            <w:r>
              <w:rPr>
                <w:rFonts w:asciiTheme="minorEastAsia" w:eastAsiaTheme="minorEastAsia" w:hAnsiTheme="minorEastAsia" w:hint="eastAsia"/>
                <w:sz w:val="28"/>
                <w:szCs w:val="28"/>
              </w:rPr>
              <w:t>1台</w:t>
            </w:r>
          </w:p>
        </w:tc>
        <w:tc>
          <w:tcPr>
            <w:tcW w:w="2016"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6000</w:t>
            </w:r>
          </w:p>
        </w:tc>
        <w:tc>
          <w:tcPr>
            <w:tcW w:w="1603" w:type="dxa"/>
            <w:tcBorders>
              <w:top w:val="single" w:sz="0" w:space="0" w:color="auto"/>
              <w:left w:val="single" w:sz="0" w:space="0" w:color="auto"/>
              <w:bottom w:val="single" w:sz="0" w:space="0" w:color="auto"/>
              <w:right w:val="single" w:sz="0" w:space="0" w:color="auto"/>
            </w:tcBorders>
            <w:vAlign w:val="center"/>
          </w:tcPr>
          <w:p w:rsidR="00411C26" w:rsidRDefault="00411C26">
            <w:pPr>
              <w:spacing w:line="360" w:lineRule="auto"/>
              <w:ind w:firstLine="200"/>
              <w:jc w:val="both"/>
              <w:rPr>
                <w:rFonts w:asciiTheme="minorEastAsia" w:eastAsiaTheme="minorEastAsia" w:hAnsiTheme="minorEastAsia"/>
                <w:sz w:val="28"/>
                <w:szCs w:val="28"/>
              </w:rPr>
            </w:pPr>
          </w:p>
        </w:tc>
      </w:tr>
      <w:tr w:rsidR="00411C26">
        <w:tc>
          <w:tcPr>
            <w:tcW w:w="1417"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rPr>
            </w:pPr>
            <w:proofErr w:type="spellStart"/>
            <w:r>
              <w:rPr>
                <w:rFonts w:asciiTheme="minorEastAsia" w:eastAsiaTheme="minorEastAsia" w:hAnsiTheme="minorEastAsia" w:hint="eastAsia"/>
                <w:sz w:val="28"/>
                <w:szCs w:val="28"/>
              </w:rPr>
              <w:t>合计</w:t>
            </w:r>
            <w:proofErr w:type="spellEnd"/>
          </w:p>
        </w:tc>
        <w:tc>
          <w:tcPr>
            <w:tcW w:w="5485" w:type="dxa"/>
            <w:gridSpan w:val="3"/>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center"/>
              <w:rPr>
                <w:rFonts w:asciiTheme="minorEastAsia" w:eastAsiaTheme="minorEastAsia" w:hAnsiTheme="minorEastAsia"/>
                <w:sz w:val="28"/>
                <w:szCs w:val="28"/>
              </w:rPr>
            </w:pPr>
            <w:r>
              <w:rPr>
                <w:rFonts w:asciiTheme="minorEastAsia" w:eastAsiaTheme="minorEastAsia" w:hAnsiTheme="minorEastAsia" w:hint="eastAsia"/>
                <w:sz w:val="28"/>
                <w:szCs w:val="28"/>
                <w:lang w:eastAsia="zh-CN"/>
              </w:rPr>
              <w:t>10</w:t>
            </w:r>
            <w:r>
              <w:rPr>
                <w:rFonts w:asciiTheme="minorEastAsia" w:eastAsiaTheme="minorEastAsia" w:hAnsiTheme="minorEastAsia" w:hint="eastAsia"/>
                <w:sz w:val="28"/>
                <w:szCs w:val="28"/>
              </w:rPr>
              <w:t>台</w:t>
            </w:r>
          </w:p>
        </w:tc>
        <w:tc>
          <w:tcPr>
            <w:tcW w:w="1603" w:type="dxa"/>
            <w:tcBorders>
              <w:top w:val="single" w:sz="0" w:space="0" w:color="auto"/>
              <w:left w:val="single" w:sz="0" w:space="0" w:color="auto"/>
              <w:bottom w:val="single" w:sz="0" w:space="0" w:color="auto"/>
              <w:right w:val="single" w:sz="0" w:space="0" w:color="auto"/>
            </w:tcBorders>
            <w:vAlign w:val="center"/>
          </w:tcPr>
          <w:p w:rsidR="00411C26" w:rsidRDefault="008800F6">
            <w:pPr>
              <w:spacing w:line="360" w:lineRule="auto"/>
              <w:ind w:firstLine="200"/>
              <w:jc w:val="both"/>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60000</w:t>
            </w:r>
          </w:p>
        </w:tc>
      </w:tr>
    </w:tbl>
    <w:p w:rsidR="00411C26" w:rsidRDefault="00411C26">
      <w:pPr>
        <w:spacing w:line="360" w:lineRule="auto"/>
        <w:ind w:firstLine="200"/>
        <w:rPr>
          <w:rFonts w:asciiTheme="minorEastAsia" w:eastAsiaTheme="minorEastAsia" w:hAnsiTheme="minorEastAsia"/>
          <w:sz w:val="28"/>
          <w:szCs w:val="28"/>
        </w:rPr>
      </w:pPr>
    </w:p>
    <w:p w:rsidR="00411C26" w:rsidRDefault="00411C26">
      <w:pPr>
        <w:spacing w:line="360" w:lineRule="auto"/>
        <w:ind w:firstLineChars="200" w:firstLine="560"/>
        <w:rPr>
          <w:rFonts w:asciiTheme="minorEastAsia" w:eastAsiaTheme="minorEastAsia" w:hAnsiTheme="minorEastAsia"/>
          <w:sz w:val="28"/>
          <w:szCs w:val="28"/>
          <w:lang w:eastAsia="zh-CN"/>
        </w:rPr>
      </w:pP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（二）中标企业负责提供自动售货机、经营管理、维修和售后服务，学校负责提供自动售货机安放场地、水电接入和监管工作。</w:t>
      </w:r>
    </w:p>
    <w:p w:rsidR="00411C26" w:rsidRPr="00D6540F" w:rsidRDefault="008800F6">
      <w:pPr>
        <w:spacing w:line="360" w:lineRule="auto"/>
        <w:ind w:firstLineChars="200" w:firstLine="560"/>
        <w:rPr>
          <w:rFonts w:asciiTheme="minorEastAsia" w:eastAsiaTheme="minorEastAsia" w:hAnsiTheme="minorEastAsia"/>
          <w:color w:val="000000" w:themeColor="text1"/>
          <w:sz w:val="28"/>
          <w:szCs w:val="28"/>
          <w:lang w:eastAsia="zh-CN"/>
        </w:rPr>
      </w:pPr>
      <w:r>
        <w:rPr>
          <w:rFonts w:asciiTheme="minorEastAsia" w:eastAsiaTheme="minorEastAsia" w:hAnsiTheme="minorEastAsia" w:hint="eastAsia"/>
          <w:sz w:val="28"/>
          <w:szCs w:val="28"/>
          <w:lang w:eastAsia="zh-CN"/>
        </w:rPr>
        <w:t>（三）合作期限为</w:t>
      </w:r>
      <w:r w:rsidR="0046753A">
        <w:rPr>
          <w:rFonts w:asciiTheme="minorEastAsia" w:eastAsiaTheme="minorEastAsia" w:hAnsiTheme="minorEastAsia" w:hint="eastAsia"/>
          <w:sz w:val="28"/>
          <w:szCs w:val="28"/>
          <w:lang w:eastAsia="zh-CN"/>
        </w:rPr>
        <w:t>5</w:t>
      </w:r>
      <w:r>
        <w:rPr>
          <w:rFonts w:asciiTheme="minorEastAsia" w:eastAsiaTheme="minorEastAsia" w:hAnsiTheme="minorEastAsia" w:hint="eastAsia"/>
          <w:sz w:val="28"/>
          <w:szCs w:val="28"/>
          <w:lang w:eastAsia="zh-CN"/>
        </w:rPr>
        <w:t>年，</w:t>
      </w:r>
      <w:r w:rsidRPr="00D6540F">
        <w:rPr>
          <w:rFonts w:asciiTheme="minorEastAsia" w:eastAsiaTheme="minorEastAsia" w:hAnsiTheme="minorEastAsia" w:hint="eastAsia"/>
          <w:color w:val="000000" w:themeColor="text1"/>
          <w:sz w:val="28"/>
          <w:szCs w:val="28"/>
          <w:lang w:eastAsia="zh-CN"/>
        </w:rPr>
        <w:t>在合作期限内中标企业需向学校资助2名贫困生，提供2个勤工助学岗位。</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（四）电费收取标准</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自动售货机电费由中标企业负责，按“学校商业用户水电管理办</w:t>
      </w:r>
      <w:r>
        <w:rPr>
          <w:rFonts w:asciiTheme="minorEastAsia" w:eastAsiaTheme="minorEastAsia" w:hAnsiTheme="minorEastAsia" w:hint="eastAsia"/>
          <w:sz w:val="28"/>
          <w:szCs w:val="28"/>
          <w:lang w:eastAsia="zh-CN"/>
        </w:rPr>
        <w:lastRenderedPageBreak/>
        <w:t>法”的规定缴纳。</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（五）自动售货机和食品安全管理制度</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1、自动售货机管理严格执行</w:t>
      </w:r>
      <w:r w:rsidR="00AB66A0">
        <w:rPr>
          <w:rFonts w:asciiTheme="minorEastAsia" w:eastAsiaTheme="minorEastAsia" w:hAnsiTheme="minorEastAsia" w:hint="eastAsia"/>
          <w:sz w:val="28"/>
          <w:szCs w:val="28"/>
          <w:lang w:eastAsia="zh-CN"/>
        </w:rPr>
        <w:t>国家相关法律</w:t>
      </w:r>
      <w:r>
        <w:rPr>
          <w:rFonts w:asciiTheme="minorEastAsia" w:eastAsiaTheme="minorEastAsia" w:hAnsiTheme="minorEastAsia" w:hint="eastAsia"/>
          <w:sz w:val="28"/>
          <w:szCs w:val="28"/>
          <w:lang w:eastAsia="zh-CN"/>
        </w:rPr>
        <w:t>法规，确保机器、食品安全和消防安全。</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2、自动售货机内放置的所有商品必须具有生产许可、食品流通许可。</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3、自动售货机内销售的商品因质量或食品安全问题给任何第三方造成人身损害的，企业负责全部经济及法律责任，给学校造成名誉及财产损失的，经营服务企 业除要受相关法律法规的处罚外，还要赔偿学校的损失。</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（六）自动售货机服务要求</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1、自动售货机供应商品品种选择以“名、优、新、”及老字号产品为主，贯彻“引名厂，卖名品，创口碑”的经营方针，赢得学生喜欢和好评。</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2、自动售货机提供5种以上不同的知名品牌并有20种以上商品供学生选择，做到一品一价、货卡对号。</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3、服务企业做好自动售货机送货和补货制度，保证学生选购。</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（七）自动售货机维护、售后办法</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在合作期内，企业负责自动售货机</w:t>
      </w:r>
      <w:r w:rsidR="002521C6">
        <w:rPr>
          <w:rFonts w:asciiTheme="minorEastAsia" w:eastAsiaTheme="minorEastAsia" w:hAnsiTheme="minorEastAsia" w:hint="eastAsia"/>
          <w:sz w:val="28"/>
          <w:szCs w:val="28"/>
          <w:lang w:eastAsia="zh-CN"/>
        </w:rPr>
        <w:t>维修</w:t>
      </w:r>
      <w:r>
        <w:rPr>
          <w:rFonts w:asciiTheme="minorEastAsia" w:eastAsiaTheme="minorEastAsia" w:hAnsiTheme="minorEastAsia" w:hint="eastAsia"/>
          <w:sz w:val="28"/>
          <w:szCs w:val="28"/>
          <w:lang w:eastAsia="zh-CN"/>
        </w:rPr>
        <w:t>维护</w:t>
      </w:r>
      <w:r w:rsidR="002521C6">
        <w:rPr>
          <w:rFonts w:asciiTheme="minorEastAsia" w:eastAsiaTheme="minorEastAsia" w:hAnsiTheme="minorEastAsia" w:hint="eastAsia"/>
          <w:sz w:val="28"/>
          <w:szCs w:val="28"/>
          <w:lang w:eastAsia="zh-CN"/>
        </w:rPr>
        <w:t>及管理。</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（八）自动售货机项目的协调与监管</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1、中标企业</w:t>
      </w:r>
      <w:proofErr w:type="gramStart"/>
      <w:r>
        <w:rPr>
          <w:rFonts w:asciiTheme="minorEastAsia" w:eastAsiaTheme="minorEastAsia" w:hAnsiTheme="minorEastAsia" w:hint="eastAsia"/>
          <w:sz w:val="28"/>
          <w:szCs w:val="28"/>
          <w:lang w:eastAsia="zh-CN"/>
        </w:rPr>
        <w:t>签定</w:t>
      </w:r>
      <w:proofErr w:type="gramEnd"/>
      <w:r>
        <w:rPr>
          <w:rFonts w:asciiTheme="minorEastAsia" w:eastAsiaTheme="minorEastAsia" w:hAnsiTheme="minorEastAsia" w:hint="eastAsia"/>
          <w:sz w:val="28"/>
          <w:szCs w:val="28"/>
          <w:lang w:eastAsia="zh-CN"/>
        </w:rPr>
        <w:t>合同后，必须把自动售货机后台交给学校负责部门进行监管和审核营业额等情况。</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2、中标企业在合同签订后自动售货机进场当天，每个服务点须公示自动售货 机的产品合格证书、24小时售后服务电话及定期维护情况表。</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lastRenderedPageBreak/>
        <w:t>3、中标企业在合同签订后经营前，须提供自动售货机内放置的所有商品的QS 生产许可证、食品流通许可证和食品检验报告，</w:t>
      </w:r>
      <w:proofErr w:type="gramStart"/>
      <w:r>
        <w:rPr>
          <w:rFonts w:asciiTheme="minorEastAsia" w:eastAsiaTheme="minorEastAsia" w:hAnsiTheme="minorEastAsia" w:hint="eastAsia"/>
          <w:sz w:val="28"/>
          <w:szCs w:val="28"/>
          <w:lang w:eastAsia="zh-CN"/>
        </w:rPr>
        <w:t>交学校</w:t>
      </w:r>
      <w:proofErr w:type="gramEnd"/>
      <w:r>
        <w:rPr>
          <w:rFonts w:asciiTheme="minorEastAsia" w:eastAsiaTheme="minorEastAsia" w:hAnsiTheme="minorEastAsia" w:hint="eastAsia"/>
          <w:sz w:val="28"/>
          <w:szCs w:val="28"/>
          <w:lang w:eastAsia="zh-CN"/>
        </w:rPr>
        <w:t>负责部门审核。</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4、中标企业进入学校的车辆和人员需到学校保卫处办理相关进场手续。</w:t>
      </w:r>
    </w:p>
    <w:p w:rsidR="00411C26" w:rsidRDefault="008800F6">
      <w:pPr>
        <w:pStyle w:val="1"/>
        <w:shd w:val="clear" w:color="auto" w:fill="auto"/>
        <w:spacing w:after="120" w:line="360" w:lineRule="auto"/>
        <w:ind w:firstLine="200"/>
        <w:rPr>
          <w:rFonts w:asciiTheme="minorEastAsia" w:eastAsiaTheme="minorEastAsia" w:hAnsiTheme="minorEastAsia"/>
          <w:b/>
          <w:sz w:val="28"/>
          <w:szCs w:val="28"/>
        </w:rPr>
      </w:pPr>
      <w:r>
        <w:rPr>
          <w:rFonts w:asciiTheme="minorEastAsia" w:eastAsiaTheme="minorEastAsia" w:hAnsiTheme="minorEastAsia" w:hint="eastAsia"/>
          <w:b/>
          <w:sz w:val="28"/>
          <w:szCs w:val="28"/>
          <w:lang w:val="en-US"/>
        </w:rPr>
        <w:t>三</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经营管理相关要求</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（一）校方提供经营场地、电力供应等基本保障，饮料自动售货机投放人负责规划、接电，安装计量表等工作，所需的材料费、人工费等费用均由饮料自动售货机投放人负责。</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二）饮料自动售货机投放人必须严格遵守国家法律法规和学校有关规定，确保合法经营、诚信经营、规范经营。饮料自动售货机投放人需持有法律法规规定的资质证件，如营业执照、从业人员（包括设备维护、送货补货等一切能接触到商品的人员）需持有健康证等。</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三）饮料自动售货机投放人必须无条件接受政府相关部门和学校相关部门对服务中心的安全、卫生、经营范围内的商品进行的检查、监督。如饮料自动售货机投放人出现违反工商、卫生防疫、消防、治安、环保、劳动、税务等部门法规的行为，校方可视其情况轻重予以（警告、处罚或移交相应国家部门）处理，直至终止合同，由此引起的经济和法律责任由乙方负责。如饮料自动售货机投放人不服从校方及校方管理办公室管理，即视为违反合同，校方有权终止合同，饮料自动售货机投放人无条件撤离。</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（四）履约期间，饮料自动售货机投放人投放的饮料机的营业收入归饮料自动售货机投放人所有，饮料自动售货机投放人对该项目的经营自负盈亏，不超范围经营</w:t>
      </w:r>
      <w:r w:rsidR="006A7A30">
        <w:rPr>
          <w:rFonts w:asciiTheme="minorEastAsia" w:eastAsiaTheme="minorEastAsia" w:hAnsiTheme="minorEastAsia" w:hint="eastAsia"/>
          <w:sz w:val="28"/>
          <w:szCs w:val="28"/>
          <w:lang w:eastAsia="zh-CN"/>
        </w:rPr>
        <w:t>，</w:t>
      </w:r>
      <w:r>
        <w:rPr>
          <w:rFonts w:asciiTheme="minorEastAsia" w:eastAsiaTheme="minorEastAsia" w:hAnsiTheme="minorEastAsia" w:hint="eastAsia"/>
          <w:sz w:val="28"/>
          <w:szCs w:val="28"/>
          <w:lang w:eastAsia="zh-CN"/>
        </w:rPr>
        <w:t>不得经营自加工及分装食品饮料，不得在校园内售卖含酒精的饮品。</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lastRenderedPageBreak/>
        <w:t>（五）饮料自动售货机投放人所售的商品须符合国家质量标准，不得售卖任何假冒伪劣产品和过期产品，如发生与饮料自动售货机投放人销售商品有关的事故等，由饮料自动售货机投放人承担全部法律责任和经济责任。</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（六）饮料自动售货机投放单位的工作人员须严格遵守校园作息时间及规定的经营时间。</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（七）饮料机所售饮品的定价要以服务师生为宗旨，</w:t>
      </w:r>
      <w:r w:rsidR="00346A20">
        <w:rPr>
          <w:rFonts w:asciiTheme="minorEastAsia" w:eastAsiaTheme="minorEastAsia" w:hAnsiTheme="minorEastAsia" w:hint="eastAsia"/>
          <w:sz w:val="28"/>
          <w:szCs w:val="28"/>
          <w:lang w:eastAsia="zh-CN"/>
        </w:rPr>
        <w:t>所售商品不得高于市场价格，</w:t>
      </w:r>
      <w:r>
        <w:rPr>
          <w:rFonts w:asciiTheme="minorEastAsia" w:eastAsiaTheme="minorEastAsia" w:hAnsiTheme="minorEastAsia" w:hint="eastAsia"/>
          <w:sz w:val="28"/>
          <w:szCs w:val="28"/>
          <w:lang w:eastAsia="zh-CN"/>
        </w:rPr>
        <w:t>师生可以使用如支付宝、微信、刷</w:t>
      </w:r>
      <w:proofErr w:type="gramStart"/>
      <w:r>
        <w:rPr>
          <w:rFonts w:asciiTheme="minorEastAsia" w:eastAsiaTheme="minorEastAsia" w:hAnsiTheme="minorEastAsia" w:hint="eastAsia"/>
          <w:sz w:val="28"/>
          <w:szCs w:val="28"/>
          <w:lang w:eastAsia="zh-CN"/>
        </w:rPr>
        <w:t>脸支付</w:t>
      </w:r>
      <w:proofErr w:type="gramEnd"/>
      <w:r>
        <w:rPr>
          <w:rFonts w:asciiTheme="minorEastAsia" w:eastAsiaTheme="minorEastAsia" w:hAnsiTheme="minorEastAsia" w:hint="eastAsia"/>
          <w:sz w:val="28"/>
          <w:szCs w:val="28"/>
          <w:lang w:eastAsia="zh-CN"/>
        </w:rPr>
        <w:t>等多元化的支付方式，每台机器上须注明有效的24小时服务电话。</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（八）饮料自动售货机投放</w:t>
      </w:r>
      <w:proofErr w:type="gramStart"/>
      <w:r>
        <w:rPr>
          <w:rFonts w:asciiTheme="minorEastAsia" w:eastAsiaTheme="minorEastAsia" w:hAnsiTheme="minorEastAsia" w:hint="eastAsia"/>
          <w:sz w:val="28"/>
          <w:szCs w:val="28"/>
          <w:lang w:eastAsia="zh-CN"/>
        </w:rPr>
        <w:t>人确保</w:t>
      </w:r>
      <w:proofErr w:type="gramEnd"/>
      <w:r>
        <w:rPr>
          <w:rFonts w:asciiTheme="minorEastAsia" w:eastAsiaTheme="minorEastAsia" w:hAnsiTheme="minorEastAsia" w:hint="eastAsia"/>
          <w:sz w:val="28"/>
          <w:szCs w:val="28"/>
          <w:lang w:eastAsia="zh-CN"/>
        </w:rPr>
        <w:t>所提供的设备应美观大方，未经学校许可不得在设备摆放场地周边及设备上作任何广告宣传，如有违反校方有权责令整改，如不要求整改的，则视为违约，校方可单方面终止合同并向饮料自动售货机投放人索赔违约金。</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（九）饮料自动售货机投放人必须遵守学校安全保卫的相关规定，配备必要的安全装置，如漏电保护开关等，确保饮料机不会发生如漏电等意外情况导致有人员、财产损失。</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（十）饮料自动售货机投放人须按照相关要求，采取相关措施，认真落实“门前三包”责任。</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十一）确保饮料机及周围责任区内的干净、整洁，无乱设摊点、乱张贴、乱涂写、乱刻画、乱吊挂、乱堆放等行为，无垃圾、污水、污迹、蚊蝇孳生地。如有上述行为，校方有权要求乙方立即整改，并有权视情节处以一定数额的经济处罚。</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（十二）饮料自动售货机投放人应按照法律规定和合同约定缴费纳税，按照劳动合同法的要求合法用工，不得聘用有违法、违纪或违反甲方规章制度的人员，保障用工人员的合法权益和工资福利，因上</w:t>
      </w:r>
      <w:r>
        <w:rPr>
          <w:rFonts w:asciiTheme="minorEastAsia" w:eastAsiaTheme="minorEastAsia" w:hAnsiTheme="minorEastAsia" w:hint="eastAsia"/>
          <w:sz w:val="28"/>
          <w:szCs w:val="28"/>
          <w:lang w:eastAsia="zh-CN"/>
        </w:rPr>
        <w:lastRenderedPageBreak/>
        <w:t>述问题所造成的一切法律责任和经济责任由饮料自动售货机投放人承担。</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十三）饮料自动售货机投放人应加强职工教育，增强服务意识，做到文明服务，微笑服务，使用文明用语，热情周到，态度和蔼，杜绝与师生发生争吵甚至打架现象，如发生上述现象，校方将视情节给予一定经济处罚，所造成的一切后果由饮料自动售货机投放人负责。</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（十四）饮料自动售货机投放人须指定为校园投放饮料机的负责人，全权负责饮料机的商品补货、清洁及维护工作并处理经营中所发生的相关问题。</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（十五）饮料自动售货机投放人需要对其雇员或供货商的行为负责，并尽最大努力保证雇员或供货</w:t>
      </w:r>
      <w:proofErr w:type="gramStart"/>
      <w:r>
        <w:rPr>
          <w:rFonts w:asciiTheme="minorEastAsia" w:eastAsiaTheme="minorEastAsia" w:hAnsiTheme="minorEastAsia" w:hint="eastAsia"/>
          <w:sz w:val="28"/>
          <w:szCs w:val="28"/>
          <w:lang w:eastAsia="zh-CN"/>
        </w:rPr>
        <w:t>商不会</w:t>
      </w:r>
      <w:proofErr w:type="gramEnd"/>
      <w:r>
        <w:rPr>
          <w:rFonts w:asciiTheme="minorEastAsia" w:eastAsiaTheme="minorEastAsia" w:hAnsiTheme="minorEastAsia" w:hint="eastAsia"/>
          <w:sz w:val="28"/>
          <w:szCs w:val="28"/>
          <w:lang w:eastAsia="zh-CN"/>
        </w:rPr>
        <w:t>在校园内从事任何将对学校、师生、访客等造成名誉、财产、人身等方面的损害或伤害的行为。</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（十六）饮料自动售货机投放单位的工作人员应服从校方的管理，送货车辆进校后须按学校交通管理的相关规定执行。</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（十七）饮料自动售货机投放人对合同期内发生的一切债权、债务问题</w:t>
      </w:r>
      <w:r w:rsidR="00F81829">
        <w:rPr>
          <w:rFonts w:asciiTheme="minorEastAsia" w:eastAsiaTheme="minorEastAsia" w:hAnsiTheme="minorEastAsia" w:hint="eastAsia"/>
          <w:sz w:val="28"/>
          <w:szCs w:val="28"/>
          <w:lang w:eastAsia="zh-CN"/>
        </w:rPr>
        <w:t>及人员</w:t>
      </w:r>
      <w:r w:rsidR="00A600FE">
        <w:rPr>
          <w:rFonts w:asciiTheme="minorEastAsia" w:eastAsiaTheme="minorEastAsia" w:hAnsiTheme="minorEastAsia" w:hint="eastAsia"/>
          <w:sz w:val="28"/>
          <w:szCs w:val="28"/>
          <w:lang w:eastAsia="zh-CN"/>
        </w:rPr>
        <w:t>发生的伤病及意外事故承担</w:t>
      </w:r>
      <w:r>
        <w:rPr>
          <w:rFonts w:asciiTheme="minorEastAsia" w:eastAsiaTheme="minorEastAsia" w:hAnsiTheme="minorEastAsia" w:hint="eastAsia"/>
          <w:sz w:val="28"/>
          <w:szCs w:val="28"/>
          <w:lang w:eastAsia="zh-CN"/>
        </w:rPr>
        <w:t>全部责任。</w:t>
      </w:r>
      <w:bookmarkStart w:id="0" w:name="_GoBack"/>
      <w:bookmarkEnd w:id="0"/>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（十八）饮料自动售货机投放人承诺可以结合传统节日、纪念日及学校大型活动开展相应促销活动。</w:t>
      </w:r>
    </w:p>
    <w:p w:rsidR="00411C26" w:rsidRDefault="008800F6">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CN"/>
        </w:rPr>
        <w:t>（十九）由于外部原因或不可抗力等所造成的未事先通知的停电等情况，校方不承担任何责任。</w:t>
      </w:r>
    </w:p>
    <w:p w:rsidR="006A377E" w:rsidRDefault="006A377E">
      <w:pPr>
        <w:pStyle w:val="1"/>
        <w:shd w:val="clear" w:color="auto" w:fill="auto"/>
        <w:spacing w:after="800" w:line="360" w:lineRule="auto"/>
        <w:ind w:firstLine="200"/>
        <w:rPr>
          <w:rFonts w:asciiTheme="minorEastAsia" w:eastAsiaTheme="minorEastAsia" w:hAnsiTheme="minorEastAsia"/>
          <w:b/>
          <w:sz w:val="28"/>
          <w:szCs w:val="28"/>
        </w:rPr>
      </w:pPr>
      <w:r>
        <w:rPr>
          <w:rFonts w:asciiTheme="minorEastAsia" w:eastAsiaTheme="minorEastAsia" w:hAnsiTheme="minorEastAsia"/>
          <w:b/>
          <w:sz w:val="28"/>
          <w:szCs w:val="28"/>
        </w:rPr>
        <w:t>四、评分办法</w:t>
      </w:r>
    </w:p>
    <w:p w:rsidR="000133CD" w:rsidRPr="006A377E" w:rsidRDefault="000133CD">
      <w:pPr>
        <w:pStyle w:val="1"/>
        <w:shd w:val="clear" w:color="auto" w:fill="auto"/>
        <w:spacing w:after="800" w:line="360" w:lineRule="auto"/>
        <w:ind w:firstLine="200"/>
        <w:rPr>
          <w:rFonts w:asciiTheme="minorEastAsia" w:eastAsiaTheme="minorEastAsia" w:hAnsiTheme="minorEastAsia"/>
          <w:b/>
          <w:sz w:val="28"/>
          <w:szCs w:val="28"/>
        </w:rPr>
      </w:pPr>
    </w:p>
    <w:tbl>
      <w:tblPr>
        <w:tblpPr w:leftFromText="180" w:rightFromText="180" w:vertAnchor="text" w:horzAnchor="margin" w:tblpY="196"/>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1340"/>
        <w:gridCol w:w="960"/>
        <w:gridCol w:w="4973"/>
      </w:tblGrid>
      <w:tr w:rsidR="006A377E" w:rsidTr="00E8790E">
        <w:trPr>
          <w:tblHeader/>
        </w:trPr>
        <w:tc>
          <w:tcPr>
            <w:tcW w:w="1340" w:type="dxa"/>
            <w:vAlign w:val="center"/>
          </w:tcPr>
          <w:p w:rsidR="006A377E" w:rsidRDefault="006A377E" w:rsidP="00E8790E">
            <w:pPr>
              <w:pStyle w:val="21212"/>
              <w:snapToGrid w:val="0"/>
              <w:spacing w:before="120" w:after="0" w:line="400" w:lineRule="exact"/>
              <w:ind w:firstLine="0"/>
              <w:jc w:val="center"/>
              <w:rPr>
                <w:rFonts w:ascii="宋体"/>
                <w:b/>
                <w:szCs w:val="24"/>
              </w:rPr>
            </w:pPr>
            <w:r>
              <w:rPr>
                <w:rFonts w:ascii="宋体" w:hint="eastAsia"/>
                <w:b/>
                <w:szCs w:val="24"/>
              </w:rPr>
              <w:lastRenderedPageBreak/>
              <w:t>类别</w:t>
            </w:r>
          </w:p>
        </w:tc>
        <w:tc>
          <w:tcPr>
            <w:tcW w:w="1340" w:type="dxa"/>
            <w:vAlign w:val="center"/>
          </w:tcPr>
          <w:p w:rsidR="006A377E" w:rsidRDefault="006A377E" w:rsidP="00E8790E">
            <w:pPr>
              <w:pStyle w:val="21212"/>
              <w:snapToGrid w:val="0"/>
              <w:spacing w:before="120" w:after="0" w:line="400" w:lineRule="exact"/>
              <w:ind w:firstLine="0"/>
              <w:jc w:val="center"/>
              <w:rPr>
                <w:rFonts w:ascii="宋体"/>
                <w:b/>
                <w:szCs w:val="24"/>
              </w:rPr>
            </w:pPr>
            <w:r>
              <w:rPr>
                <w:rFonts w:ascii="宋体" w:hint="eastAsia"/>
                <w:b/>
                <w:szCs w:val="24"/>
              </w:rPr>
              <w:t>评审项目</w:t>
            </w:r>
          </w:p>
        </w:tc>
        <w:tc>
          <w:tcPr>
            <w:tcW w:w="960" w:type="dxa"/>
            <w:vAlign w:val="center"/>
          </w:tcPr>
          <w:p w:rsidR="006A377E" w:rsidRDefault="006A377E" w:rsidP="00E8790E">
            <w:pPr>
              <w:pStyle w:val="21212"/>
              <w:snapToGrid w:val="0"/>
              <w:spacing w:before="120" w:after="0" w:line="400" w:lineRule="exact"/>
              <w:ind w:firstLine="0"/>
              <w:jc w:val="center"/>
              <w:rPr>
                <w:rFonts w:ascii="宋体"/>
                <w:b/>
                <w:szCs w:val="24"/>
              </w:rPr>
            </w:pPr>
            <w:r>
              <w:rPr>
                <w:rFonts w:ascii="宋体" w:hint="eastAsia"/>
                <w:b/>
                <w:szCs w:val="24"/>
              </w:rPr>
              <w:t>标准分</w:t>
            </w:r>
          </w:p>
        </w:tc>
        <w:tc>
          <w:tcPr>
            <w:tcW w:w="4973" w:type="dxa"/>
            <w:vAlign w:val="center"/>
          </w:tcPr>
          <w:p w:rsidR="006A377E" w:rsidRDefault="006A377E" w:rsidP="00E8790E">
            <w:pPr>
              <w:pStyle w:val="21212"/>
              <w:snapToGrid w:val="0"/>
              <w:spacing w:before="120" w:after="0" w:line="400" w:lineRule="exact"/>
              <w:ind w:firstLine="422"/>
              <w:jc w:val="center"/>
              <w:rPr>
                <w:rFonts w:ascii="宋体"/>
                <w:b/>
                <w:szCs w:val="24"/>
              </w:rPr>
            </w:pPr>
            <w:r>
              <w:rPr>
                <w:rFonts w:ascii="宋体" w:hint="eastAsia"/>
                <w:b/>
                <w:szCs w:val="24"/>
              </w:rPr>
              <w:t>评分标准说明</w:t>
            </w:r>
          </w:p>
        </w:tc>
      </w:tr>
      <w:tr w:rsidR="006A377E" w:rsidTr="00E8790E">
        <w:trPr>
          <w:trHeight w:val="438"/>
        </w:trPr>
        <w:tc>
          <w:tcPr>
            <w:tcW w:w="1340" w:type="dxa"/>
            <w:vAlign w:val="center"/>
          </w:tcPr>
          <w:p w:rsidR="006A377E" w:rsidRDefault="006A377E" w:rsidP="00E8790E">
            <w:pPr>
              <w:pStyle w:val="12"/>
              <w:snapToGrid w:val="0"/>
              <w:spacing w:line="400" w:lineRule="exact"/>
              <w:jc w:val="center"/>
              <w:rPr>
                <w:b/>
                <w:sz w:val="24"/>
                <w:szCs w:val="24"/>
              </w:rPr>
            </w:pPr>
            <w:r>
              <w:rPr>
                <w:rFonts w:hint="eastAsia"/>
                <w:b/>
                <w:sz w:val="24"/>
                <w:szCs w:val="24"/>
              </w:rPr>
              <w:t>商务部分</w:t>
            </w:r>
          </w:p>
        </w:tc>
        <w:tc>
          <w:tcPr>
            <w:tcW w:w="1340" w:type="dxa"/>
            <w:vAlign w:val="center"/>
          </w:tcPr>
          <w:p w:rsidR="006A377E" w:rsidRDefault="006A377E" w:rsidP="00E8790E">
            <w:pPr>
              <w:pStyle w:val="12"/>
              <w:snapToGrid w:val="0"/>
              <w:spacing w:line="400" w:lineRule="exact"/>
              <w:jc w:val="center"/>
              <w:rPr>
                <w:b/>
                <w:sz w:val="24"/>
                <w:szCs w:val="24"/>
              </w:rPr>
            </w:pPr>
            <w:r>
              <w:rPr>
                <w:rFonts w:hint="eastAsia"/>
                <w:b/>
                <w:sz w:val="24"/>
                <w:szCs w:val="24"/>
              </w:rPr>
              <w:t>同类业绩</w:t>
            </w:r>
          </w:p>
        </w:tc>
        <w:tc>
          <w:tcPr>
            <w:tcW w:w="960" w:type="dxa"/>
            <w:vAlign w:val="center"/>
          </w:tcPr>
          <w:p w:rsidR="006A377E" w:rsidRDefault="006A377E" w:rsidP="00E8790E">
            <w:pPr>
              <w:pStyle w:val="12"/>
              <w:snapToGrid w:val="0"/>
              <w:spacing w:line="400" w:lineRule="exact"/>
              <w:jc w:val="center"/>
              <w:rPr>
                <w:b/>
                <w:sz w:val="24"/>
                <w:szCs w:val="24"/>
              </w:rPr>
            </w:pPr>
            <w:r>
              <w:rPr>
                <w:rFonts w:hint="eastAsia"/>
                <w:b/>
                <w:sz w:val="24"/>
                <w:szCs w:val="24"/>
              </w:rPr>
              <w:t>10</w:t>
            </w:r>
          </w:p>
        </w:tc>
        <w:tc>
          <w:tcPr>
            <w:tcW w:w="4973" w:type="dxa"/>
          </w:tcPr>
          <w:p w:rsidR="006A377E" w:rsidRDefault="006A377E" w:rsidP="00E8790E">
            <w:pPr>
              <w:pStyle w:val="12"/>
              <w:snapToGrid w:val="0"/>
              <w:spacing w:line="400" w:lineRule="exact"/>
              <w:textAlignment w:val="auto"/>
              <w:rPr>
                <w:sz w:val="24"/>
                <w:szCs w:val="24"/>
              </w:rPr>
            </w:pPr>
            <w:r>
              <w:rPr>
                <w:rFonts w:hint="eastAsia"/>
                <w:sz w:val="24"/>
                <w:szCs w:val="24"/>
              </w:rPr>
              <w:t>投标人每提供一份同类业绩的得5分，此项最多得10分。</w:t>
            </w:r>
          </w:p>
        </w:tc>
      </w:tr>
      <w:tr w:rsidR="006A377E" w:rsidTr="00E8790E">
        <w:trPr>
          <w:trHeight w:val="645"/>
        </w:trPr>
        <w:tc>
          <w:tcPr>
            <w:tcW w:w="1340" w:type="dxa"/>
            <w:vAlign w:val="center"/>
          </w:tcPr>
          <w:p w:rsidR="006A377E" w:rsidRDefault="006A377E" w:rsidP="00E8790E">
            <w:pPr>
              <w:pStyle w:val="12"/>
              <w:snapToGrid w:val="0"/>
              <w:spacing w:line="400" w:lineRule="exact"/>
              <w:jc w:val="center"/>
              <w:rPr>
                <w:b/>
                <w:szCs w:val="24"/>
              </w:rPr>
            </w:pPr>
            <w:r>
              <w:rPr>
                <w:rFonts w:hint="eastAsia"/>
                <w:b/>
                <w:sz w:val="24"/>
                <w:szCs w:val="24"/>
              </w:rPr>
              <w:t>商务部分</w:t>
            </w:r>
          </w:p>
        </w:tc>
        <w:tc>
          <w:tcPr>
            <w:tcW w:w="1340" w:type="dxa"/>
            <w:vAlign w:val="center"/>
          </w:tcPr>
          <w:p w:rsidR="006A377E" w:rsidRDefault="006A377E" w:rsidP="00E8790E">
            <w:pPr>
              <w:pStyle w:val="12"/>
              <w:snapToGrid w:val="0"/>
              <w:spacing w:line="400" w:lineRule="exact"/>
              <w:jc w:val="center"/>
              <w:rPr>
                <w:b/>
                <w:szCs w:val="24"/>
              </w:rPr>
            </w:pPr>
            <w:r>
              <w:rPr>
                <w:rFonts w:hint="eastAsia"/>
                <w:b/>
                <w:sz w:val="24"/>
                <w:szCs w:val="24"/>
              </w:rPr>
              <w:t>其他要求</w:t>
            </w:r>
          </w:p>
        </w:tc>
        <w:tc>
          <w:tcPr>
            <w:tcW w:w="960" w:type="dxa"/>
            <w:vAlign w:val="center"/>
          </w:tcPr>
          <w:p w:rsidR="006A377E" w:rsidRDefault="006A377E" w:rsidP="00E8790E">
            <w:pPr>
              <w:pStyle w:val="12"/>
              <w:snapToGrid w:val="0"/>
              <w:spacing w:line="400" w:lineRule="exact"/>
              <w:jc w:val="center"/>
              <w:textAlignment w:val="auto"/>
              <w:rPr>
                <w:b/>
                <w:sz w:val="24"/>
                <w:szCs w:val="24"/>
              </w:rPr>
            </w:pPr>
            <w:r>
              <w:rPr>
                <w:rFonts w:hint="eastAsia"/>
                <w:b/>
                <w:sz w:val="24"/>
                <w:szCs w:val="24"/>
              </w:rPr>
              <w:t>12</w:t>
            </w:r>
          </w:p>
        </w:tc>
        <w:tc>
          <w:tcPr>
            <w:tcW w:w="4973" w:type="dxa"/>
          </w:tcPr>
          <w:p w:rsidR="006A377E" w:rsidRDefault="006A377E" w:rsidP="00E8790E">
            <w:pPr>
              <w:pStyle w:val="12"/>
              <w:snapToGrid w:val="0"/>
              <w:spacing w:line="400" w:lineRule="exact"/>
              <w:textAlignment w:val="auto"/>
              <w:rPr>
                <w:sz w:val="24"/>
                <w:szCs w:val="24"/>
              </w:rPr>
            </w:pPr>
            <w:r>
              <w:rPr>
                <w:rFonts w:hint="eastAsia"/>
                <w:sz w:val="24"/>
                <w:szCs w:val="24"/>
              </w:rPr>
              <w:t>投标人提供在有效期内的质量管理体系认证证书、环境管理体系认证证书及职业健康安全管理体系认证证书，每提供1个得4分，此项满分12分。</w:t>
            </w:r>
          </w:p>
        </w:tc>
      </w:tr>
      <w:tr w:rsidR="006A377E" w:rsidTr="00E8790E">
        <w:trPr>
          <w:trHeight w:val="645"/>
        </w:trPr>
        <w:tc>
          <w:tcPr>
            <w:tcW w:w="1340" w:type="dxa"/>
            <w:vAlign w:val="center"/>
          </w:tcPr>
          <w:p w:rsidR="006A377E" w:rsidRDefault="006A377E" w:rsidP="00E8790E">
            <w:pPr>
              <w:tabs>
                <w:tab w:val="left" w:pos="8280"/>
              </w:tabs>
              <w:spacing w:line="400" w:lineRule="exact"/>
              <w:jc w:val="center"/>
              <w:rPr>
                <w:b/>
              </w:rPr>
            </w:pPr>
            <w:proofErr w:type="spellStart"/>
            <w:r>
              <w:rPr>
                <w:rFonts w:ascii="宋体" w:hAnsi="宋体" w:hint="eastAsia"/>
                <w:b/>
              </w:rPr>
              <w:t>商务部分</w:t>
            </w:r>
            <w:proofErr w:type="spellEnd"/>
          </w:p>
        </w:tc>
        <w:tc>
          <w:tcPr>
            <w:tcW w:w="1340" w:type="dxa"/>
            <w:vAlign w:val="center"/>
          </w:tcPr>
          <w:p w:rsidR="006A377E" w:rsidRDefault="006A377E" w:rsidP="00E8790E">
            <w:pPr>
              <w:tabs>
                <w:tab w:val="left" w:pos="8280"/>
              </w:tabs>
              <w:spacing w:line="400" w:lineRule="exact"/>
              <w:jc w:val="center"/>
              <w:rPr>
                <w:b/>
              </w:rPr>
            </w:pPr>
            <w:proofErr w:type="spellStart"/>
            <w:r>
              <w:rPr>
                <w:rFonts w:ascii="宋体" w:hAnsi="宋体" w:hint="eastAsia"/>
                <w:b/>
              </w:rPr>
              <w:t>培训方案完整性</w:t>
            </w:r>
            <w:proofErr w:type="spellEnd"/>
          </w:p>
        </w:tc>
        <w:tc>
          <w:tcPr>
            <w:tcW w:w="960" w:type="dxa"/>
            <w:vAlign w:val="center"/>
          </w:tcPr>
          <w:p w:rsidR="006A377E" w:rsidRDefault="006A377E" w:rsidP="00E8790E">
            <w:pPr>
              <w:tabs>
                <w:tab w:val="left" w:pos="8280"/>
              </w:tabs>
              <w:spacing w:line="400" w:lineRule="exact"/>
              <w:jc w:val="center"/>
              <w:rPr>
                <w:rFonts w:eastAsiaTheme="minorEastAsia"/>
                <w:b/>
                <w:lang w:eastAsia="zh-CN"/>
              </w:rPr>
            </w:pPr>
            <w:r>
              <w:rPr>
                <w:rFonts w:ascii="宋体" w:eastAsiaTheme="minorEastAsia" w:hAnsi="宋体" w:hint="eastAsia"/>
                <w:b/>
                <w:lang w:eastAsia="zh-CN"/>
              </w:rPr>
              <w:t>20</w:t>
            </w:r>
          </w:p>
        </w:tc>
        <w:tc>
          <w:tcPr>
            <w:tcW w:w="4973" w:type="dxa"/>
            <w:vAlign w:val="center"/>
          </w:tcPr>
          <w:p w:rsidR="006A377E" w:rsidRDefault="006A377E" w:rsidP="00E8790E">
            <w:pPr>
              <w:tabs>
                <w:tab w:val="left" w:pos="603"/>
                <w:tab w:val="left" w:pos="8280"/>
              </w:tabs>
              <w:spacing w:line="400" w:lineRule="exact"/>
              <w:rPr>
                <w:rFonts w:ascii="宋体" w:hAnsi="宋体"/>
                <w:lang w:eastAsia="zh-CN"/>
              </w:rPr>
            </w:pPr>
            <w:r>
              <w:rPr>
                <w:rFonts w:ascii="宋体" w:hAnsi="宋体" w:hint="eastAsia"/>
                <w:lang w:eastAsia="zh-CN"/>
              </w:rPr>
              <w:t>提出针对本项目的培训方案：</w:t>
            </w:r>
          </w:p>
          <w:p w:rsidR="006A377E" w:rsidRDefault="006A377E" w:rsidP="00E8790E">
            <w:pPr>
              <w:tabs>
                <w:tab w:val="left" w:pos="603"/>
                <w:tab w:val="left" w:pos="8280"/>
              </w:tabs>
              <w:spacing w:line="400" w:lineRule="exact"/>
              <w:jc w:val="both"/>
              <w:rPr>
                <w:rFonts w:ascii="宋体"/>
                <w:lang w:eastAsia="zh-CN"/>
              </w:rPr>
            </w:pPr>
            <w:r>
              <w:rPr>
                <w:rFonts w:ascii="宋体" w:hAnsi="宋体" w:hint="eastAsia"/>
                <w:lang w:eastAsia="zh-CN"/>
              </w:rPr>
              <w:t>1</w:t>
            </w:r>
            <w:r>
              <w:rPr>
                <w:rFonts w:ascii="宋体" w:hAnsi="宋体" w:hint="eastAsia"/>
                <w:lang w:eastAsia="zh-CN"/>
              </w:rPr>
              <w:t>、岗前培训方案；</w:t>
            </w:r>
            <w:r>
              <w:rPr>
                <w:rFonts w:ascii="宋体" w:hAnsi="宋体" w:hint="eastAsia"/>
                <w:lang w:eastAsia="zh-CN"/>
              </w:rPr>
              <w:t>2</w:t>
            </w:r>
            <w:r>
              <w:rPr>
                <w:rFonts w:ascii="宋体" w:hAnsi="宋体" w:hint="eastAsia"/>
                <w:lang w:eastAsia="zh-CN"/>
              </w:rPr>
              <w:t>、安全教育培训方案；</w:t>
            </w:r>
            <w:r>
              <w:rPr>
                <w:rFonts w:ascii="宋体" w:hAnsi="宋体" w:hint="eastAsia"/>
                <w:lang w:eastAsia="zh-CN"/>
              </w:rPr>
              <w:t>3</w:t>
            </w:r>
            <w:r>
              <w:rPr>
                <w:rFonts w:ascii="宋体" w:hAnsi="宋体" w:hint="eastAsia"/>
                <w:lang w:eastAsia="zh-CN"/>
              </w:rPr>
              <w:t>、上岗人员行为规范培训方案；</w:t>
            </w:r>
            <w:r>
              <w:rPr>
                <w:rFonts w:ascii="宋体" w:hAnsi="宋体" w:hint="eastAsia"/>
                <w:lang w:eastAsia="zh-CN"/>
              </w:rPr>
              <w:t>4</w:t>
            </w:r>
            <w:r>
              <w:rPr>
                <w:rFonts w:ascii="宋体" w:hAnsi="宋体" w:hint="eastAsia"/>
                <w:lang w:eastAsia="zh-CN"/>
              </w:rPr>
              <w:t>、上岗人员专业技能培训方案；上述</w:t>
            </w:r>
            <w:r>
              <w:rPr>
                <w:rFonts w:ascii="宋体" w:hAnsi="宋体" w:hint="eastAsia"/>
                <w:lang w:eastAsia="zh-CN"/>
              </w:rPr>
              <w:t>4</w:t>
            </w:r>
            <w:r>
              <w:rPr>
                <w:rFonts w:ascii="宋体" w:hAnsi="宋体" w:hint="eastAsia"/>
                <w:lang w:eastAsia="zh-CN"/>
              </w:rPr>
              <w:t>个方案每有</w:t>
            </w:r>
            <w:r>
              <w:rPr>
                <w:rFonts w:ascii="宋体" w:hAnsi="宋体" w:hint="eastAsia"/>
                <w:lang w:eastAsia="zh-CN"/>
              </w:rPr>
              <w:t>1</w:t>
            </w:r>
            <w:r>
              <w:rPr>
                <w:rFonts w:ascii="宋体" w:hAnsi="宋体" w:hint="eastAsia"/>
                <w:lang w:eastAsia="zh-CN"/>
              </w:rPr>
              <w:t>个提供完整的，得</w:t>
            </w:r>
            <w:r>
              <w:rPr>
                <w:rFonts w:ascii="宋体" w:eastAsiaTheme="minorEastAsia" w:hAnsi="宋体" w:hint="eastAsia"/>
                <w:lang w:eastAsia="zh-CN"/>
              </w:rPr>
              <w:t>5</w:t>
            </w:r>
            <w:r>
              <w:rPr>
                <w:rFonts w:ascii="宋体" w:hAnsi="宋体" w:hint="eastAsia"/>
                <w:lang w:eastAsia="zh-CN"/>
              </w:rPr>
              <w:t>分，满分</w:t>
            </w:r>
            <w:r>
              <w:rPr>
                <w:rFonts w:ascii="宋体" w:eastAsiaTheme="minorEastAsia" w:hAnsi="宋体" w:hint="eastAsia"/>
                <w:lang w:eastAsia="zh-CN"/>
              </w:rPr>
              <w:t>20</w:t>
            </w:r>
            <w:r>
              <w:rPr>
                <w:rFonts w:ascii="宋体" w:hAnsi="宋体" w:hint="eastAsia"/>
                <w:lang w:eastAsia="zh-CN"/>
              </w:rPr>
              <w:t>分。</w:t>
            </w:r>
          </w:p>
        </w:tc>
      </w:tr>
      <w:tr w:rsidR="006A377E" w:rsidTr="00E8790E">
        <w:trPr>
          <w:trHeight w:val="768"/>
        </w:trPr>
        <w:tc>
          <w:tcPr>
            <w:tcW w:w="1340" w:type="dxa"/>
            <w:vAlign w:val="center"/>
          </w:tcPr>
          <w:p w:rsidR="006A377E" w:rsidRDefault="006A377E" w:rsidP="00E8790E">
            <w:pPr>
              <w:tabs>
                <w:tab w:val="left" w:pos="8280"/>
              </w:tabs>
              <w:spacing w:line="400" w:lineRule="exact"/>
              <w:jc w:val="center"/>
              <w:rPr>
                <w:b/>
              </w:rPr>
            </w:pPr>
            <w:proofErr w:type="spellStart"/>
            <w:r>
              <w:rPr>
                <w:rFonts w:ascii="宋体" w:hAnsi="宋体" w:hint="eastAsia"/>
                <w:b/>
              </w:rPr>
              <w:t>商务部分</w:t>
            </w:r>
            <w:proofErr w:type="spellEnd"/>
          </w:p>
        </w:tc>
        <w:tc>
          <w:tcPr>
            <w:tcW w:w="1340" w:type="dxa"/>
            <w:vAlign w:val="center"/>
          </w:tcPr>
          <w:p w:rsidR="006A377E" w:rsidRDefault="006A377E" w:rsidP="00E8790E">
            <w:pPr>
              <w:tabs>
                <w:tab w:val="left" w:pos="8280"/>
              </w:tabs>
              <w:spacing w:line="400" w:lineRule="exact"/>
              <w:jc w:val="center"/>
              <w:rPr>
                <w:b/>
              </w:rPr>
            </w:pPr>
            <w:proofErr w:type="spellStart"/>
            <w:r>
              <w:rPr>
                <w:rFonts w:ascii="宋体" w:hAnsi="宋体" w:hint="eastAsia"/>
                <w:b/>
              </w:rPr>
              <w:t>规章制度完整性</w:t>
            </w:r>
            <w:proofErr w:type="spellEnd"/>
          </w:p>
        </w:tc>
        <w:tc>
          <w:tcPr>
            <w:tcW w:w="960" w:type="dxa"/>
            <w:vAlign w:val="center"/>
          </w:tcPr>
          <w:p w:rsidR="006A377E" w:rsidRDefault="006A377E" w:rsidP="00E8790E">
            <w:pPr>
              <w:tabs>
                <w:tab w:val="left" w:pos="8280"/>
              </w:tabs>
              <w:spacing w:line="400" w:lineRule="exact"/>
              <w:jc w:val="center"/>
              <w:rPr>
                <w:b/>
              </w:rPr>
            </w:pPr>
            <w:r>
              <w:rPr>
                <w:rFonts w:ascii="宋体" w:eastAsiaTheme="minorEastAsia" w:hAnsi="宋体" w:hint="eastAsia"/>
                <w:b/>
                <w:lang w:eastAsia="zh-CN"/>
              </w:rPr>
              <w:t>15</w:t>
            </w:r>
          </w:p>
        </w:tc>
        <w:tc>
          <w:tcPr>
            <w:tcW w:w="4973" w:type="dxa"/>
            <w:vAlign w:val="center"/>
          </w:tcPr>
          <w:p w:rsidR="006A377E" w:rsidRDefault="006A377E" w:rsidP="00E8790E">
            <w:pPr>
              <w:tabs>
                <w:tab w:val="left" w:pos="603"/>
                <w:tab w:val="left" w:pos="8280"/>
              </w:tabs>
              <w:spacing w:line="400" w:lineRule="exact"/>
              <w:rPr>
                <w:rFonts w:ascii="宋体" w:hAnsi="宋体"/>
                <w:lang w:eastAsia="zh-CN"/>
              </w:rPr>
            </w:pPr>
            <w:r>
              <w:rPr>
                <w:rFonts w:ascii="宋体" w:hAnsi="宋体" w:hint="eastAsia"/>
                <w:lang w:eastAsia="zh-CN"/>
              </w:rPr>
              <w:t>提出针对本项目的规章制度：</w:t>
            </w:r>
          </w:p>
          <w:p w:rsidR="006A377E" w:rsidRDefault="006A377E" w:rsidP="00E8790E">
            <w:pPr>
              <w:tabs>
                <w:tab w:val="left" w:pos="603"/>
                <w:tab w:val="left" w:pos="8280"/>
              </w:tabs>
              <w:spacing w:line="400" w:lineRule="exact"/>
              <w:rPr>
                <w:lang w:eastAsia="zh-CN"/>
              </w:rPr>
            </w:pPr>
            <w:r>
              <w:rPr>
                <w:rFonts w:ascii="宋体" w:hAnsi="宋体" w:hint="eastAsia"/>
                <w:lang w:eastAsia="zh-CN"/>
              </w:rPr>
              <w:t>1</w:t>
            </w:r>
            <w:r>
              <w:rPr>
                <w:rFonts w:ascii="宋体" w:hAnsi="宋体" w:hint="eastAsia"/>
                <w:lang w:eastAsia="zh-CN"/>
              </w:rPr>
              <w:t>、员工管理制度；</w:t>
            </w:r>
            <w:r>
              <w:rPr>
                <w:rFonts w:ascii="宋体" w:hAnsi="宋体" w:hint="eastAsia"/>
                <w:lang w:eastAsia="zh-CN"/>
              </w:rPr>
              <w:t>2</w:t>
            </w:r>
            <w:r>
              <w:rPr>
                <w:rFonts w:ascii="宋体" w:hAnsi="宋体" w:hint="eastAsia"/>
                <w:lang w:eastAsia="zh-CN"/>
              </w:rPr>
              <w:t>、岗位职责制度；</w:t>
            </w:r>
            <w:r>
              <w:rPr>
                <w:rFonts w:ascii="宋体" w:hAnsi="宋体" w:hint="eastAsia"/>
                <w:lang w:eastAsia="zh-CN"/>
              </w:rPr>
              <w:t>3</w:t>
            </w:r>
            <w:r>
              <w:rPr>
                <w:rFonts w:ascii="宋体" w:hAnsi="宋体" w:hint="eastAsia"/>
                <w:lang w:eastAsia="zh-CN"/>
              </w:rPr>
              <w:t>、检查制度；上述</w:t>
            </w:r>
            <w:r>
              <w:rPr>
                <w:rFonts w:ascii="宋体" w:eastAsiaTheme="minorEastAsia" w:hAnsi="宋体" w:hint="eastAsia"/>
                <w:lang w:eastAsia="zh-CN"/>
              </w:rPr>
              <w:t>3</w:t>
            </w:r>
            <w:r>
              <w:rPr>
                <w:rFonts w:ascii="宋体" w:hAnsi="宋体" w:hint="eastAsia"/>
                <w:lang w:eastAsia="zh-CN"/>
              </w:rPr>
              <w:t>个规章制度每有</w:t>
            </w:r>
            <w:r>
              <w:rPr>
                <w:rFonts w:ascii="宋体" w:hAnsi="宋体" w:hint="eastAsia"/>
                <w:lang w:eastAsia="zh-CN"/>
              </w:rPr>
              <w:t>1</w:t>
            </w:r>
            <w:r>
              <w:rPr>
                <w:rFonts w:ascii="宋体" w:hAnsi="宋体" w:hint="eastAsia"/>
                <w:lang w:eastAsia="zh-CN"/>
              </w:rPr>
              <w:t>个提供完整的，得</w:t>
            </w:r>
            <w:r>
              <w:rPr>
                <w:rFonts w:ascii="宋体" w:eastAsiaTheme="minorEastAsia" w:hAnsi="宋体" w:hint="eastAsia"/>
                <w:lang w:eastAsia="zh-CN"/>
              </w:rPr>
              <w:t>5</w:t>
            </w:r>
            <w:r>
              <w:rPr>
                <w:rFonts w:ascii="宋体" w:hAnsi="宋体" w:hint="eastAsia"/>
                <w:lang w:eastAsia="zh-CN"/>
              </w:rPr>
              <w:t>分，满分</w:t>
            </w:r>
            <w:r>
              <w:rPr>
                <w:rFonts w:ascii="宋体" w:eastAsiaTheme="minorEastAsia" w:hAnsi="宋体" w:hint="eastAsia"/>
                <w:lang w:eastAsia="zh-CN"/>
              </w:rPr>
              <w:t>15</w:t>
            </w:r>
            <w:r>
              <w:rPr>
                <w:rFonts w:ascii="宋体" w:hAnsi="宋体" w:hint="eastAsia"/>
                <w:lang w:eastAsia="zh-CN"/>
              </w:rPr>
              <w:t>分。</w:t>
            </w:r>
          </w:p>
        </w:tc>
      </w:tr>
      <w:tr w:rsidR="006A377E" w:rsidTr="00E8790E">
        <w:trPr>
          <w:trHeight w:val="768"/>
        </w:trPr>
        <w:tc>
          <w:tcPr>
            <w:tcW w:w="1340" w:type="dxa"/>
            <w:vAlign w:val="center"/>
          </w:tcPr>
          <w:p w:rsidR="006A377E" w:rsidRDefault="006A377E" w:rsidP="00E8790E">
            <w:pPr>
              <w:tabs>
                <w:tab w:val="left" w:pos="8280"/>
              </w:tabs>
              <w:spacing w:line="400" w:lineRule="exact"/>
              <w:jc w:val="center"/>
              <w:rPr>
                <w:b/>
              </w:rPr>
            </w:pPr>
            <w:proofErr w:type="spellStart"/>
            <w:r>
              <w:rPr>
                <w:rFonts w:ascii="宋体" w:hAnsi="宋体" w:hint="eastAsia"/>
                <w:b/>
              </w:rPr>
              <w:t>商务部分</w:t>
            </w:r>
            <w:proofErr w:type="spellEnd"/>
          </w:p>
        </w:tc>
        <w:tc>
          <w:tcPr>
            <w:tcW w:w="1340" w:type="dxa"/>
            <w:vAlign w:val="center"/>
          </w:tcPr>
          <w:p w:rsidR="006A377E" w:rsidRDefault="006A377E" w:rsidP="00E8790E">
            <w:pPr>
              <w:tabs>
                <w:tab w:val="left" w:pos="8280"/>
              </w:tabs>
              <w:spacing w:line="400" w:lineRule="exact"/>
              <w:jc w:val="center"/>
              <w:rPr>
                <w:b/>
              </w:rPr>
            </w:pPr>
            <w:proofErr w:type="spellStart"/>
            <w:r>
              <w:rPr>
                <w:rFonts w:ascii="宋体" w:hAnsi="宋体" w:hint="eastAsia"/>
                <w:b/>
              </w:rPr>
              <w:t>服务方案完整性</w:t>
            </w:r>
            <w:proofErr w:type="spellEnd"/>
          </w:p>
        </w:tc>
        <w:tc>
          <w:tcPr>
            <w:tcW w:w="960" w:type="dxa"/>
            <w:vAlign w:val="center"/>
          </w:tcPr>
          <w:p w:rsidR="006A377E" w:rsidRDefault="006A377E" w:rsidP="00E8790E">
            <w:pPr>
              <w:tabs>
                <w:tab w:val="left" w:pos="8280"/>
              </w:tabs>
              <w:spacing w:line="400" w:lineRule="exact"/>
              <w:jc w:val="center"/>
              <w:rPr>
                <w:rFonts w:eastAsiaTheme="minorEastAsia"/>
                <w:b/>
                <w:lang w:eastAsia="zh-CN"/>
              </w:rPr>
            </w:pPr>
            <w:r>
              <w:rPr>
                <w:rFonts w:ascii="宋体" w:eastAsiaTheme="minorEastAsia" w:hAnsi="宋体" w:hint="eastAsia"/>
                <w:b/>
                <w:lang w:eastAsia="zh-CN"/>
              </w:rPr>
              <w:t>10</w:t>
            </w:r>
          </w:p>
        </w:tc>
        <w:tc>
          <w:tcPr>
            <w:tcW w:w="4973" w:type="dxa"/>
            <w:vAlign w:val="center"/>
          </w:tcPr>
          <w:p w:rsidR="006A377E" w:rsidRDefault="006A377E" w:rsidP="00E8790E">
            <w:pPr>
              <w:tabs>
                <w:tab w:val="left" w:pos="603"/>
                <w:tab w:val="left" w:pos="8280"/>
              </w:tabs>
              <w:spacing w:line="400" w:lineRule="exact"/>
              <w:rPr>
                <w:rFonts w:ascii="宋体" w:hAnsi="宋体"/>
                <w:lang w:eastAsia="zh-CN"/>
              </w:rPr>
            </w:pPr>
            <w:r>
              <w:rPr>
                <w:rFonts w:ascii="宋体" w:hAnsi="宋体" w:hint="eastAsia"/>
                <w:lang w:eastAsia="zh-CN"/>
              </w:rPr>
              <w:t>提出针对本项目的服务方案：</w:t>
            </w:r>
          </w:p>
          <w:p w:rsidR="006A377E" w:rsidRDefault="006A377E" w:rsidP="00E8790E">
            <w:pPr>
              <w:tabs>
                <w:tab w:val="left" w:pos="603"/>
                <w:tab w:val="left" w:pos="8280"/>
              </w:tabs>
              <w:spacing w:line="400" w:lineRule="exact"/>
              <w:rPr>
                <w:lang w:eastAsia="zh-CN"/>
              </w:rPr>
            </w:pPr>
            <w:r>
              <w:rPr>
                <w:rFonts w:ascii="宋体" w:hAnsi="宋体" w:hint="eastAsia"/>
                <w:lang w:eastAsia="zh-CN"/>
              </w:rPr>
              <w:t>1</w:t>
            </w:r>
            <w:r>
              <w:rPr>
                <w:rFonts w:ascii="宋体" w:hAnsi="宋体" w:hint="eastAsia"/>
                <w:lang w:eastAsia="zh-CN"/>
              </w:rPr>
              <w:t>、工作管理条例；</w:t>
            </w:r>
            <w:r>
              <w:rPr>
                <w:rFonts w:ascii="宋体" w:hAnsi="宋体" w:hint="eastAsia"/>
                <w:lang w:eastAsia="zh-CN"/>
              </w:rPr>
              <w:t>2</w:t>
            </w:r>
            <w:r>
              <w:rPr>
                <w:rFonts w:ascii="宋体" w:hAnsi="宋体" w:hint="eastAsia"/>
                <w:lang w:eastAsia="zh-CN"/>
              </w:rPr>
              <w:t>、服务质量保证措施方案。上述</w:t>
            </w:r>
            <w:r>
              <w:rPr>
                <w:rFonts w:ascii="宋体" w:hAnsi="宋体" w:hint="eastAsia"/>
                <w:lang w:eastAsia="zh-CN"/>
              </w:rPr>
              <w:t>2</w:t>
            </w:r>
            <w:r>
              <w:rPr>
                <w:rFonts w:ascii="宋体" w:hAnsi="宋体" w:hint="eastAsia"/>
                <w:lang w:eastAsia="zh-CN"/>
              </w:rPr>
              <w:t>个服务方案每有</w:t>
            </w:r>
            <w:r>
              <w:rPr>
                <w:rFonts w:ascii="宋体" w:hAnsi="宋体" w:hint="eastAsia"/>
                <w:lang w:eastAsia="zh-CN"/>
              </w:rPr>
              <w:t>1</w:t>
            </w:r>
            <w:r>
              <w:rPr>
                <w:rFonts w:ascii="宋体" w:hAnsi="宋体" w:hint="eastAsia"/>
                <w:lang w:eastAsia="zh-CN"/>
              </w:rPr>
              <w:t>个提供完整的，得</w:t>
            </w:r>
            <w:r>
              <w:rPr>
                <w:rFonts w:ascii="宋体" w:eastAsiaTheme="minorEastAsia" w:hAnsi="宋体" w:hint="eastAsia"/>
                <w:lang w:eastAsia="zh-CN"/>
              </w:rPr>
              <w:t>5</w:t>
            </w:r>
            <w:r>
              <w:rPr>
                <w:rFonts w:ascii="宋体" w:hAnsi="宋体" w:hint="eastAsia"/>
                <w:lang w:eastAsia="zh-CN"/>
              </w:rPr>
              <w:t>分，满分</w:t>
            </w:r>
            <w:r>
              <w:rPr>
                <w:rFonts w:ascii="宋体" w:eastAsiaTheme="minorEastAsia" w:hAnsi="宋体" w:hint="eastAsia"/>
                <w:lang w:eastAsia="zh-CN"/>
              </w:rPr>
              <w:t>10</w:t>
            </w:r>
            <w:r>
              <w:rPr>
                <w:rFonts w:ascii="宋体" w:hAnsi="宋体" w:hint="eastAsia"/>
                <w:lang w:eastAsia="zh-CN"/>
              </w:rPr>
              <w:t>分。</w:t>
            </w:r>
          </w:p>
        </w:tc>
      </w:tr>
      <w:tr w:rsidR="006A377E" w:rsidTr="00E8790E">
        <w:trPr>
          <w:trHeight w:val="768"/>
        </w:trPr>
        <w:tc>
          <w:tcPr>
            <w:tcW w:w="1340" w:type="dxa"/>
            <w:vAlign w:val="center"/>
          </w:tcPr>
          <w:p w:rsidR="006A377E" w:rsidRDefault="006A377E" w:rsidP="00E8790E">
            <w:pPr>
              <w:tabs>
                <w:tab w:val="left" w:pos="8280"/>
              </w:tabs>
              <w:spacing w:line="400" w:lineRule="exact"/>
              <w:jc w:val="center"/>
              <w:rPr>
                <w:b/>
              </w:rPr>
            </w:pPr>
            <w:proofErr w:type="spellStart"/>
            <w:r>
              <w:rPr>
                <w:rFonts w:ascii="宋体" w:hAnsi="宋体" w:hint="eastAsia"/>
                <w:b/>
              </w:rPr>
              <w:t>技术部分</w:t>
            </w:r>
            <w:proofErr w:type="spellEnd"/>
          </w:p>
        </w:tc>
        <w:tc>
          <w:tcPr>
            <w:tcW w:w="1340" w:type="dxa"/>
            <w:vAlign w:val="center"/>
          </w:tcPr>
          <w:p w:rsidR="006A377E" w:rsidRDefault="006A377E" w:rsidP="00E8790E">
            <w:pPr>
              <w:tabs>
                <w:tab w:val="left" w:pos="8280"/>
              </w:tabs>
              <w:spacing w:line="400" w:lineRule="exact"/>
              <w:jc w:val="center"/>
              <w:rPr>
                <w:b/>
              </w:rPr>
            </w:pPr>
            <w:proofErr w:type="spellStart"/>
            <w:r>
              <w:rPr>
                <w:rFonts w:ascii="宋体" w:hAnsi="宋体" w:hint="eastAsia"/>
                <w:b/>
              </w:rPr>
              <w:t>对学校的贡献程度</w:t>
            </w:r>
            <w:proofErr w:type="spellEnd"/>
          </w:p>
        </w:tc>
        <w:tc>
          <w:tcPr>
            <w:tcW w:w="960" w:type="dxa"/>
            <w:vAlign w:val="center"/>
          </w:tcPr>
          <w:p w:rsidR="006A377E" w:rsidRDefault="006A377E" w:rsidP="00E8790E">
            <w:pPr>
              <w:tabs>
                <w:tab w:val="left" w:pos="8280"/>
              </w:tabs>
              <w:spacing w:line="400" w:lineRule="exact"/>
              <w:jc w:val="center"/>
              <w:rPr>
                <w:rFonts w:eastAsiaTheme="minorEastAsia"/>
                <w:b/>
              </w:rPr>
            </w:pPr>
            <w:r>
              <w:rPr>
                <w:rFonts w:ascii="宋体" w:hAnsi="宋体" w:hint="eastAsia"/>
                <w:b/>
              </w:rPr>
              <w:t>1</w:t>
            </w:r>
            <w:r>
              <w:rPr>
                <w:rFonts w:ascii="宋体" w:eastAsiaTheme="minorEastAsia" w:hAnsi="宋体" w:hint="eastAsia"/>
                <w:b/>
                <w:lang w:eastAsia="zh-CN"/>
              </w:rPr>
              <w:t>8</w:t>
            </w:r>
          </w:p>
        </w:tc>
        <w:tc>
          <w:tcPr>
            <w:tcW w:w="4973" w:type="dxa"/>
            <w:vAlign w:val="center"/>
          </w:tcPr>
          <w:p w:rsidR="006A377E" w:rsidRDefault="006A377E" w:rsidP="00E8790E">
            <w:pPr>
              <w:tabs>
                <w:tab w:val="left" w:pos="603"/>
                <w:tab w:val="left" w:pos="8280"/>
              </w:tabs>
              <w:spacing w:line="400" w:lineRule="exact"/>
              <w:rPr>
                <w:lang w:eastAsia="zh-CN"/>
              </w:rPr>
            </w:pPr>
            <w:r>
              <w:rPr>
                <w:rFonts w:ascii="宋体" w:eastAsia="宋体" w:hAnsi="宋体" w:cs="宋体" w:hint="eastAsia"/>
                <w:lang w:eastAsia="zh-CN"/>
              </w:rPr>
              <w:t>根据投标方拟投入的资金与收益，比较，满足基本贡献得10分，每优于一项招标文件要求加4分，</w:t>
            </w:r>
            <w:r>
              <w:rPr>
                <w:rFonts w:ascii="宋体" w:hAnsi="宋体" w:hint="eastAsia"/>
                <w:lang w:eastAsia="zh-CN"/>
              </w:rPr>
              <w:t>满分</w:t>
            </w:r>
            <w:r>
              <w:rPr>
                <w:rFonts w:ascii="宋体" w:eastAsia="宋体" w:hAnsi="宋体" w:cs="宋体" w:hint="eastAsia"/>
                <w:lang w:eastAsia="zh-CN"/>
              </w:rPr>
              <w:t>18分。</w:t>
            </w:r>
          </w:p>
        </w:tc>
      </w:tr>
      <w:tr w:rsidR="006A377E" w:rsidTr="00E8790E">
        <w:trPr>
          <w:trHeight w:val="768"/>
        </w:trPr>
        <w:tc>
          <w:tcPr>
            <w:tcW w:w="1340" w:type="dxa"/>
            <w:vAlign w:val="center"/>
          </w:tcPr>
          <w:p w:rsidR="006A377E" w:rsidRDefault="006A377E" w:rsidP="00E8790E">
            <w:pPr>
              <w:tabs>
                <w:tab w:val="left" w:pos="8280"/>
              </w:tabs>
              <w:spacing w:line="400" w:lineRule="exact"/>
              <w:jc w:val="center"/>
              <w:rPr>
                <w:b/>
              </w:rPr>
            </w:pPr>
            <w:proofErr w:type="spellStart"/>
            <w:r>
              <w:rPr>
                <w:rFonts w:hint="eastAsia"/>
                <w:b/>
              </w:rPr>
              <w:t>技术部分</w:t>
            </w:r>
            <w:proofErr w:type="spellEnd"/>
          </w:p>
        </w:tc>
        <w:tc>
          <w:tcPr>
            <w:tcW w:w="1340" w:type="dxa"/>
            <w:vAlign w:val="center"/>
          </w:tcPr>
          <w:p w:rsidR="006A377E" w:rsidRDefault="006A377E" w:rsidP="00E8790E">
            <w:pPr>
              <w:tabs>
                <w:tab w:val="left" w:pos="8280"/>
              </w:tabs>
              <w:spacing w:line="400" w:lineRule="exact"/>
              <w:jc w:val="center"/>
              <w:rPr>
                <w:b/>
                <w:lang w:eastAsia="zh-CN"/>
              </w:rPr>
            </w:pPr>
            <w:r>
              <w:rPr>
                <w:rFonts w:hint="eastAsia"/>
                <w:b/>
                <w:lang w:eastAsia="zh-CN"/>
              </w:rPr>
              <w:t>技术得分</w:t>
            </w:r>
          </w:p>
        </w:tc>
        <w:tc>
          <w:tcPr>
            <w:tcW w:w="960" w:type="dxa"/>
            <w:vAlign w:val="center"/>
          </w:tcPr>
          <w:p w:rsidR="006A377E" w:rsidRDefault="006A377E" w:rsidP="00E8790E">
            <w:pPr>
              <w:tabs>
                <w:tab w:val="left" w:pos="8280"/>
              </w:tabs>
              <w:spacing w:line="400" w:lineRule="exact"/>
              <w:jc w:val="center"/>
              <w:rPr>
                <w:rFonts w:eastAsiaTheme="minorEastAsia"/>
                <w:b/>
                <w:lang w:eastAsia="zh-CN"/>
              </w:rPr>
            </w:pPr>
            <w:r>
              <w:rPr>
                <w:rFonts w:eastAsiaTheme="minorEastAsia" w:hint="eastAsia"/>
                <w:b/>
                <w:lang w:eastAsia="zh-CN"/>
              </w:rPr>
              <w:t>15</w:t>
            </w:r>
          </w:p>
        </w:tc>
        <w:tc>
          <w:tcPr>
            <w:tcW w:w="4973" w:type="dxa"/>
            <w:vAlign w:val="center"/>
          </w:tcPr>
          <w:p w:rsidR="006A377E" w:rsidRDefault="006A377E" w:rsidP="00E8790E">
            <w:pPr>
              <w:pStyle w:val="a3"/>
            </w:pPr>
            <w:r>
              <w:rPr>
                <w:rFonts w:ascii="宋体" w:hAnsi="宋体" w:hint="eastAsia"/>
              </w:rPr>
              <w:t>投标人不能实质性满足招标文件重要技术指标、参数要求的为无效投标。在满足招标文件重要技术指标、参数的基础上，对投标人一般技术指标、参数的满足情况进行比较评价：完全满足招标文件技术指标、参数要求的得15分，每有一项一般技术指标、参数低于招标文件规定的相应技术指标、参数的减1分，减完为止。</w:t>
            </w:r>
          </w:p>
        </w:tc>
      </w:tr>
      <w:tr w:rsidR="006A377E" w:rsidTr="00E8790E">
        <w:trPr>
          <w:trHeight w:val="619"/>
        </w:trPr>
        <w:tc>
          <w:tcPr>
            <w:tcW w:w="1340" w:type="dxa"/>
            <w:vAlign w:val="center"/>
          </w:tcPr>
          <w:p w:rsidR="006A377E" w:rsidRDefault="006A377E" w:rsidP="00E8790E">
            <w:pPr>
              <w:pStyle w:val="12"/>
              <w:snapToGrid w:val="0"/>
              <w:spacing w:line="400" w:lineRule="exact"/>
              <w:jc w:val="center"/>
              <w:rPr>
                <w:b/>
                <w:sz w:val="24"/>
                <w:szCs w:val="24"/>
              </w:rPr>
            </w:pPr>
          </w:p>
        </w:tc>
        <w:tc>
          <w:tcPr>
            <w:tcW w:w="1340" w:type="dxa"/>
            <w:vAlign w:val="center"/>
          </w:tcPr>
          <w:p w:rsidR="006A377E" w:rsidRDefault="006A377E" w:rsidP="00E8790E">
            <w:pPr>
              <w:pStyle w:val="12"/>
              <w:snapToGrid w:val="0"/>
              <w:spacing w:line="400" w:lineRule="exact"/>
              <w:jc w:val="center"/>
              <w:rPr>
                <w:b/>
                <w:sz w:val="24"/>
                <w:szCs w:val="24"/>
              </w:rPr>
            </w:pPr>
            <w:r>
              <w:rPr>
                <w:rFonts w:hint="eastAsia"/>
                <w:sz w:val="24"/>
                <w:szCs w:val="24"/>
              </w:rPr>
              <w:t>合计</w:t>
            </w:r>
          </w:p>
        </w:tc>
        <w:tc>
          <w:tcPr>
            <w:tcW w:w="960" w:type="dxa"/>
            <w:vAlign w:val="center"/>
          </w:tcPr>
          <w:p w:rsidR="006A377E" w:rsidRDefault="006A377E" w:rsidP="00E8790E">
            <w:pPr>
              <w:pStyle w:val="12"/>
              <w:snapToGrid w:val="0"/>
              <w:spacing w:line="400" w:lineRule="exact"/>
              <w:ind w:firstLineChars="50" w:firstLine="120"/>
              <w:jc w:val="center"/>
              <w:rPr>
                <w:b/>
                <w:sz w:val="24"/>
                <w:szCs w:val="24"/>
              </w:rPr>
            </w:pPr>
            <w:r>
              <w:rPr>
                <w:rFonts w:hint="eastAsia"/>
                <w:sz w:val="24"/>
                <w:szCs w:val="24"/>
              </w:rPr>
              <w:t>100</w:t>
            </w:r>
          </w:p>
        </w:tc>
        <w:tc>
          <w:tcPr>
            <w:tcW w:w="4973" w:type="dxa"/>
            <w:vAlign w:val="center"/>
          </w:tcPr>
          <w:p w:rsidR="006A377E" w:rsidRDefault="006A377E" w:rsidP="00E8790E">
            <w:pPr>
              <w:tabs>
                <w:tab w:val="left" w:pos="603"/>
                <w:tab w:val="left" w:pos="8280"/>
              </w:tabs>
              <w:spacing w:line="400" w:lineRule="exact"/>
              <w:rPr>
                <w:lang w:eastAsia="zh-CN"/>
              </w:rPr>
            </w:pPr>
            <w:r>
              <w:rPr>
                <w:rFonts w:hint="eastAsia"/>
                <w:lang w:eastAsia="zh-CN"/>
              </w:rPr>
              <w:t>分档打分的，同档次打分最小分差为0.5分</w:t>
            </w:r>
          </w:p>
        </w:tc>
      </w:tr>
    </w:tbl>
    <w:p w:rsidR="00411C26" w:rsidRDefault="00411C26" w:rsidP="00E8790E">
      <w:pPr>
        <w:pStyle w:val="1"/>
        <w:shd w:val="clear" w:color="auto" w:fill="auto"/>
        <w:spacing w:after="800" w:line="360" w:lineRule="auto"/>
        <w:ind w:firstLine="200"/>
        <w:rPr>
          <w:rFonts w:asciiTheme="minorEastAsia" w:eastAsiaTheme="minorEastAsia" w:hAnsiTheme="minorEastAsia"/>
          <w:b/>
          <w:sz w:val="28"/>
          <w:szCs w:val="28"/>
          <w:lang w:val="en-US"/>
        </w:rPr>
      </w:pPr>
    </w:p>
    <w:sectPr w:rsidR="00411C26">
      <w:pgSz w:w="11907" w:h="16839"/>
      <w:pgMar w:top="1440" w:right="1800" w:bottom="1440" w:left="1800" w:header="0" w:footer="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9E5384"/>
    <w:multiLevelType w:val="singleLevel"/>
    <w:tmpl w:val="909E5384"/>
    <w:lvl w:ilvl="0">
      <w:start w:val="2"/>
      <w:numFmt w:val="chineseCounting"/>
      <w:suff w:val="nothing"/>
      <w:lvlText w:val="%1、"/>
      <w:lvlJc w:val="left"/>
      <w:rPr>
        <w:rFonts w:hint="eastAsia"/>
      </w:rPr>
    </w:lvl>
  </w:abstractNum>
  <w:abstractNum w:abstractNumId="1">
    <w:nsid w:val="AEFFFDE9"/>
    <w:multiLevelType w:val="singleLevel"/>
    <w:tmpl w:val="AEFFFDE9"/>
    <w:lvl w:ilvl="0">
      <w:start w:val="1"/>
      <w:numFmt w:val="chineseCounting"/>
      <w:suff w:val="nothing"/>
      <w:lvlText w:val="（%1）"/>
      <w:lvlJc w:val="left"/>
      <w:pPr>
        <w:ind w:left="624"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drawingGridHorizontalSpacing w:val="181"/>
  <w:drawingGridVerticalSpacing w:val="181"/>
  <w:characterSpacingControl w:val="compressPunctuation"/>
  <w:compat>
    <w:doNotExpandShiftReturn/>
    <w:useFELayout/>
    <w:compatSetting w:name="compatibilityMode" w:uri="http://schemas.microsoft.com/office/word" w:val="12"/>
  </w:compat>
  <w:docVars>
    <w:docVar w:name="commondata" w:val="eyJoZGlkIjoiZGVhOTVlYmQwYzM3OWVhYmY3YTgzMTdmMjY1OWEwYzQifQ=="/>
  </w:docVars>
  <w:rsids>
    <w:rsidRoot w:val="00AA582F"/>
    <w:rsid w:val="000133CD"/>
    <w:rsid w:val="00053CE0"/>
    <w:rsid w:val="001764DC"/>
    <w:rsid w:val="00196790"/>
    <w:rsid w:val="00211B13"/>
    <w:rsid w:val="00215972"/>
    <w:rsid w:val="00235FEB"/>
    <w:rsid w:val="002521C6"/>
    <w:rsid w:val="0025794F"/>
    <w:rsid w:val="00346A20"/>
    <w:rsid w:val="00382683"/>
    <w:rsid w:val="00383124"/>
    <w:rsid w:val="003F2597"/>
    <w:rsid w:val="00411C26"/>
    <w:rsid w:val="00414B91"/>
    <w:rsid w:val="004548A1"/>
    <w:rsid w:val="0046753A"/>
    <w:rsid w:val="00481DE2"/>
    <w:rsid w:val="00657727"/>
    <w:rsid w:val="006A377E"/>
    <w:rsid w:val="006A7A30"/>
    <w:rsid w:val="007C1408"/>
    <w:rsid w:val="00842A7C"/>
    <w:rsid w:val="008736BC"/>
    <w:rsid w:val="008800F6"/>
    <w:rsid w:val="008A7054"/>
    <w:rsid w:val="008D041C"/>
    <w:rsid w:val="009046FD"/>
    <w:rsid w:val="00971F85"/>
    <w:rsid w:val="00A002DE"/>
    <w:rsid w:val="00A10E5F"/>
    <w:rsid w:val="00A364AF"/>
    <w:rsid w:val="00A600FE"/>
    <w:rsid w:val="00AA582F"/>
    <w:rsid w:val="00AB66A0"/>
    <w:rsid w:val="00AE4627"/>
    <w:rsid w:val="00B13F51"/>
    <w:rsid w:val="00B44A2C"/>
    <w:rsid w:val="00B5088D"/>
    <w:rsid w:val="00B7608F"/>
    <w:rsid w:val="00B7638F"/>
    <w:rsid w:val="00BA2D74"/>
    <w:rsid w:val="00C01BB5"/>
    <w:rsid w:val="00C33B27"/>
    <w:rsid w:val="00C60833"/>
    <w:rsid w:val="00CC0BE1"/>
    <w:rsid w:val="00D6540F"/>
    <w:rsid w:val="00D7516A"/>
    <w:rsid w:val="00DC684B"/>
    <w:rsid w:val="00E65CAF"/>
    <w:rsid w:val="00E67D6F"/>
    <w:rsid w:val="00E8790E"/>
    <w:rsid w:val="00F242F3"/>
    <w:rsid w:val="00F3715D"/>
    <w:rsid w:val="00F81829"/>
    <w:rsid w:val="00F94292"/>
    <w:rsid w:val="00F96ACC"/>
    <w:rsid w:val="00FB418A"/>
    <w:rsid w:val="00FB752C"/>
    <w:rsid w:val="106C1400"/>
    <w:rsid w:val="12E46F14"/>
    <w:rsid w:val="16CA0DA6"/>
    <w:rsid w:val="19B15DA2"/>
    <w:rsid w:val="2E9748DE"/>
    <w:rsid w:val="35B71628"/>
    <w:rsid w:val="39696AB6"/>
    <w:rsid w:val="479E4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EastAsia" w:hAnsi="Courier New" w:cs="Courier New"/>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er" w:semiHidden="0" w:qFormat="1"/>
    <w:lsdException w:name="footer" w:semiHidden="0" w:qFormat="1"/>
    <w:lsdException w:name="toa heading" w:semiHidden="0" w:uiPriority="0" w:qFormat="1"/>
    <w:lsdException w:name="Default Paragraph Font"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Courier New"/>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nhideWhenUsed/>
    <w:qFormat/>
    <w:pPr>
      <w:adjustRightInd w:val="0"/>
      <w:spacing w:before="120" w:line="360" w:lineRule="atLeast"/>
      <w:textAlignment w:val="baseline"/>
    </w:pPr>
    <w:rPr>
      <w:rFonts w:ascii="Cambria" w:eastAsia="宋体" w:hAnsi="Cambria" w:cs="Times New Roman"/>
      <w:color w:val="auto"/>
      <w:lang w:eastAsia="zh-CN" w:bidi="ar-SA"/>
    </w:rPr>
  </w:style>
  <w:style w:type="paragraph" w:styleId="a4">
    <w:name w:val="annotation text"/>
    <w:basedOn w:val="a"/>
    <w:uiPriority w:val="99"/>
    <w:semiHidden/>
    <w:unhideWhenUsed/>
  </w:style>
  <w:style w:type="paragraph" w:styleId="a5">
    <w:name w:val="footer"/>
    <w:basedOn w:val="a"/>
    <w:link w:val="Char"/>
    <w:uiPriority w:val="99"/>
    <w:unhideWhenUsed/>
    <w:qFormat/>
    <w:pPr>
      <w:tabs>
        <w:tab w:val="center" w:pos="4153"/>
        <w:tab w:val="right" w:pos="8306"/>
      </w:tabs>
      <w:snapToGrid w:val="0"/>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3">
    <w:name w:val="正文文本 (3)_"/>
    <w:basedOn w:val="a0"/>
    <w:link w:val="30"/>
    <w:qFormat/>
    <w:rPr>
      <w:rFonts w:ascii="黑体" w:eastAsia="黑体" w:hAnsi="黑体" w:cs="黑体"/>
      <w:sz w:val="72"/>
      <w:szCs w:val="72"/>
      <w:u w:val="none"/>
      <w:lang w:val="zh-CN" w:eastAsia="zh-CN" w:bidi="zh-CN"/>
    </w:rPr>
  </w:style>
  <w:style w:type="paragraph" w:customStyle="1" w:styleId="30">
    <w:name w:val="正文文本 (3)"/>
    <w:basedOn w:val="a"/>
    <w:link w:val="3"/>
    <w:qFormat/>
    <w:pPr>
      <w:shd w:val="clear" w:color="auto" w:fill="FFFFFF"/>
      <w:spacing w:after="660"/>
      <w:ind w:left="6480"/>
    </w:pPr>
    <w:rPr>
      <w:rFonts w:ascii="黑体" w:eastAsia="黑体" w:hAnsi="黑体" w:cs="黑体"/>
      <w:sz w:val="72"/>
      <w:szCs w:val="72"/>
      <w:lang w:val="zh-CN" w:eastAsia="zh-CN" w:bidi="zh-CN"/>
    </w:rPr>
  </w:style>
  <w:style w:type="character" w:customStyle="1" w:styleId="5">
    <w:name w:val="正文文本 (5)_"/>
    <w:basedOn w:val="a0"/>
    <w:link w:val="50"/>
    <w:qFormat/>
    <w:rPr>
      <w:rFonts w:ascii="Arial" w:eastAsia="Arial" w:hAnsi="Arial" w:cs="Arial"/>
      <w:sz w:val="42"/>
      <w:szCs w:val="42"/>
      <w:u w:val="none"/>
    </w:rPr>
  </w:style>
  <w:style w:type="paragraph" w:customStyle="1" w:styleId="50">
    <w:name w:val="正文文本 (5)"/>
    <w:basedOn w:val="a"/>
    <w:link w:val="5"/>
    <w:qFormat/>
    <w:pPr>
      <w:shd w:val="clear" w:color="auto" w:fill="FFFFFF"/>
      <w:spacing w:after="1380"/>
      <w:ind w:left="6480"/>
    </w:pPr>
    <w:rPr>
      <w:rFonts w:ascii="Arial" w:eastAsia="Arial" w:hAnsi="Arial" w:cs="Arial"/>
      <w:sz w:val="42"/>
      <w:szCs w:val="42"/>
    </w:rPr>
  </w:style>
  <w:style w:type="character" w:customStyle="1" w:styleId="4">
    <w:name w:val="正文文本 (4)_"/>
    <w:basedOn w:val="a0"/>
    <w:link w:val="40"/>
    <w:qFormat/>
    <w:rPr>
      <w:rFonts w:ascii="黑体" w:eastAsia="黑体" w:hAnsi="黑体" w:cs="黑体"/>
      <w:sz w:val="44"/>
      <w:szCs w:val="44"/>
      <w:u w:val="none"/>
      <w:lang w:val="zh-CN" w:eastAsia="zh-CN" w:bidi="zh-CN"/>
    </w:rPr>
  </w:style>
  <w:style w:type="paragraph" w:customStyle="1" w:styleId="40">
    <w:name w:val="正文文本 (4)"/>
    <w:basedOn w:val="a"/>
    <w:link w:val="4"/>
    <w:qFormat/>
    <w:pPr>
      <w:shd w:val="clear" w:color="auto" w:fill="FFFFFF"/>
      <w:spacing w:after="450"/>
      <w:ind w:left="4130"/>
    </w:pPr>
    <w:rPr>
      <w:rFonts w:ascii="黑体" w:eastAsia="黑体" w:hAnsi="黑体" w:cs="黑体"/>
      <w:sz w:val="44"/>
      <w:szCs w:val="44"/>
      <w:lang w:val="zh-CN" w:eastAsia="zh-CN" w:bidi="zh-CN"/>
    </w:rPr>
  </w:style>
  <w:style w:type="character" w:customStyle="1" w:styleId="a7">
    <w:name w:val="正文文本_"/>
    <w:basedOn w:val="a0"/>
    <w:link w:val="1"/>
    <w:qFormat/>
    <w:rPr>
      <w:rFonts w:ascii="宋体" w:eastAsia="宋体" w:hAnsi="宋体" w:cs="宋体"/>
      <w:sz w:val="32"/>
      <w:szCs w:val="32"/>
      <w:u w:val="none"/>
      <w:lang w:val="zh-CN" w:eastAsia="zh-CN" w:bidi="zh-CN"/>
    </w:rPr>
  </w:style>
  <w:style w:type="paragraph" w:customStyle="1" w:styleId="1">
    <w:name w:val="正文文本1"/>
    <w:basedOn w:val="a"/>
    <w:link w:val="a7"/>
    <w:qFormat/>
    <w:pPr>
      <w:shd w:val="clear" w:color="auto" w:fill="FFFFFF"/>
      <w:spacing w:line="430" w:lineRule="auto"/>
      <w:ind w:firstLine="400"/>
    </w:pPr>
    <w:rPr>
      <w:rFonts w:ascii="宋体" w:eastAsia="宋体" w:hAnsi="宋体" w:cs="宋体"/>
      <w:sz w:val="32"/>
      <w:szCs w:val="32"/>
      <w:lang w:val="zh-CN" w:eastAsia="zh-CN" w:bidi="zh-CN"/>
    </w:rPr>
  </w:style>
  <w:style w:type="character" w:customStyle="1" w:styleId="a8">
    <w:name w:val="表格标题_"/>
    <w:basedOn w:val="a0"/>
    <w:link w:val="a9"/>
    <w:qFormat/>
    <w:rPr>
      <w:rFonts w:ascii="黑体" w:eastAsia="黑体" w:hAnsi="黑体" w:cs="黑体"/>
      <w:sz w:val="28"/>
      <w:szCs w:val="28"/>
      <w:u w:val="none"/>
      <w:lang w:val="zh-CN" w:eastAsia="zh-CN" w:bidi="zh-CN"/>
    </w:rPr>
  </w:style>
  <w:style w:type="paragraph" w:customStyle="1" w:styleId="a9">
    <w:name w:val="表格标题"/>
    <w:basedOn w:val="a"/>
    <w:link w:val="a8"/>
    <w:qFormat/>
    <w:pPr>
      <w:shd w:val="clear" w:color="auto" w:fill="FFFFFF"/>
      <w:spacing w:after="170"/>
    </w:pPr>
    <w:rPr>
      <w:rFonts w:ascii="黑体" w:eastAsia="黑体" w:hAnsi="黑体" w:cs="黑体"/>
      <w:sz w:val="28"/>
      <w:szCs w:val="28"/>
      <w:lang w:val="zh-CN" w:eastAsia="zh-CN" w:bidi="zh-CN"/>
    </w:rPr>
  </w:style>
  <w:style w:type="character" w:customStyle="1" w:styleId="aa">
    <w:name w:val="其他_"/>
    <w:basedOn w:val="a0"/>
    <w:link w:val="ab"/>
    <w:qFormat/>
    <w:rPr>
      <w:rFonts w:ascii="宋体" w:eastAsia="宋体" w:hAnsi="宋体" w:cs="宋体"/>
      <w:sz w:val="32"/>
      <w:szCs w:val="32"/>
      <w:u w:val="none"/>
      <w:lang w:val="zh-CN" w:eastAsia="zh-CN" w:bidi="zh-CN"/>
    </w:rPr>
  </w:style>
  <w:style w:type="paragraph" w:customStyle="1" w:styleId="ab">
    <w:name w:val="其他"/>
    <w:basedOn w:val="a"/>
    <w:link w:val="aa"/>
    <w:qFormat/>
    <w:pPr>
      <w:shd w:val="clear" w:color="auto" w:fill="FFFFFF"/>
      <w:spacing w:line="430" w:lineRule="auto"/>
      <w:ind w:firstLine="400"/>
    </w:pPr>
    <w:rPr>
      <w:rFonts w:ascii="宋体" w:eastAsia="宋体" w:hAnsi="宋体" w:cs="宋体"/>
      <w:sz w:val="32"/>
      <w:szCs w:val="32"/>
      <w:lang w:val="zh-CN" w:eastAsia="zh-CN" w:bidi="zh-CN"/>
    </w:rPr>
  </w:style>
  <w:style w:type="character" w:customStyle="1" w:styleId="2">
    <w:name w:val="正文文本 (2)_"/>
    <w:basedOn w:val="a0"/>
    <w:link w:val="20"/>
    <w:qFormat/>
    <w:rPr>
      <w:rFonts w:ascii="黑体" w:eastAsia="黑体" w:hAnsi="黑体" w:cs="黑体"/>
      <w:sz w:val="28"/>
      <w:szCs w:val="28"/>
      <w:u w:val="none"/>
      <w:lang w:val="zh-CN" w:eastAsia="zh-CN" w:bidi="zh-CN"/>
    </w:rPr>
  </w:style>
  <w:style w:type="paragraph" w:customStyle="1" w:styleId="20">
    <w:name w:val="正文文本 (2)"/>
    <w:basedOn w:val="a"/>
    <w:link w:val="2"/>
    <w:qFormat/>
    <w:pPr>
      <w:shd w:val="clear" w:color="auto" w:fill="FFFFFF"/>
      <w:spacing w:after="420"/>
      <w:ind w:firstLine="280"/>
    </w:pPr>
    <w:rPr>
      <w:rFonts w:ascii="黑体" w:eastAsia="黑体" w:hAnsi="黑体" w:cs="黑体"/>
      <w:sz w:val="28"/>
      <w:szCs w:val="28"/>
      <w:lang w:val="zh-CN" w:eastAsia="zh-CN" w:bidi="zh-CN"/>
    </w:rPr>
  </w:style>
  <w:style w:type="character" w:customStyle="1" w:styleId="10">
    <w:name w:val="标题 #1_"/>
    <w:basedOn w:val="a0"/>
    <w:link w:val="11"/>
    <w:qFormat/>
    <w:rPr>
      <w:rFonts w:ascii="黑体" w:eastAsia="黑体" w:hAnsi="黑体" w:cs="黑体"/>
      <w:sz w:val="46"/>
      <w:szCs w:val="46"/>
      <w:u w:val="none"/>
      <w:lang w:val="zh-CN" w:eastAsia="zh-CN" w:bidi="zh-CN"/>
    </w:rPr>
  </w:style>
  <w:style w:type="paragraph" w:customStyle="1" w:styleId="11">
    <w:name w:val="标题 #1"/>
    <w:basedOn w:val="a"/>
    <w:link w:val="10"/>
    <w:qFormat/>
    <w:pPr>
      <w:shd w:val="clear" w:color="auto" w:fill="FFFFFF"/>
      <w:spacing w:after="800"/>
      <w:jc w:val="center"/>
      <w:outlineLvl w:val="0"/>
    </w:pPr>
    <w:rPr>
      <w:rFonts w:ascii="黑体" w:eastAsia="黑体" w:hAnsi="黑体" w:cs="黑体"/>
      <w:sz w:val="46"/>
      <w:szCs w:val="46"/>
      <w:lang w:val="zh-CN" w:eastAsia="zh-CN" w:bidi="zh-CN"/>
    </w:rPr>
  </w:style>
  <w:style w:type="character" w:customStyle="1" w:styleId="Char0">
    <w:name w:val="页眉 Char"/>
    <w:basedOn w:val="a0"/>
    <w:link w:val="a6"/>
    <w:uiPriority w:val="99"/>
    <w:qFormat/>
    <w:rPr>
      <w:rFonts w:eastAsia="Courier New"/>
      <w:color w:val="000000"/>
      <w:sz w:val="18"/>
      <w:szCs w:val="18"/>
      <w:lang w:eastAsia="en-US" w:bidi="en-US"/>
    </w:rPr>
  </w:style>
  <w:style w:type="character" w:customStyle="1" w:styleId="Char">
    <w:name w:val="页脚 Char"/>
    <w:basedOn w:val="a0"/>
    <w:link w:val="a5"/>
    <w:uiPriority w:val="99"/>
    <w:rPr>
      <w:rFonts w:eastAsia="Courier New"/>
      <w:color w:val="000000"/>
      <w:sz w:val="18"/>
      <w:szCs w:val="18"/>
      <w:lang w:eastAsia="en-US" w:bidi="en-US"/>
    </w:rPr>
  </w:style>
  <w:style w:type="paragraph" w:customStyle="1" w:styleId="21212">
    <w:name w:val="样式 样式 样式 左侧:  2 字符1 + 首行缩进:  2 字符1 + 首行缩进:  2 字符"/>
    <w:basedOn w:val="a"/>
    <w:qFormat/>
    <w:pPr>
      <w:widowControl/>
      <w:adjustRightInd w:val="0"/>
      <w:spacing w:before="60" w:after="120" w:line="440" w:lineRule="atLeast"/>
      <w:ind w:firstLine="480"/>
      <w:jc w:val="both"/>
      <w:textAlignment w:val="baseline"/>
    </w:pPr>
    <w:rPr>
      <w:rFonts w:ascii="Times New Roman" w:eastAsia="宋体" w:hAnsi="Times New Roman" w:cs="Times New Roman"/>
      <w:color w:val="auto"/>
      <w:kern w:val="2"/>
      <w:szCs w:val="20"/>
      <w:lang w:eastAsia="zh-CN" w:bidi="ar-SA"/>
    </w:rPr>
  </w:style>
  <w:style w:type="paragraph" w:customStyle="1" w:styleId="12">
    <w:name w:val="样式1"/>
    <w:basedOn w:val="a"/>
    <w:link w:val="1CharChar"/>
    <w:qFormat/>
    <w:pPr>
      <w:adjustRightInd w:val="0"/>
      <w:jc w:val="both"/>
      <w:textAlignment w:val="baseline"/>
    </w:pPr>
    <w:rPr>
      <w:rFonts w:ascii="宋体" w:eastAsia="宋体" w:hAnsi="Times New Roman" w:cs="Times New Roman"/>
      <w:color w:val="auto"/>
      <w:sz w:val="21"/>
      <w:szCs w:val="21"/>
      <w:lang w:eastAsia="zh-CN" w:bidi="ar-SA"/>
    </w:rPr>
  </w:style>
  <w:style w:type="character" w:customStyle="1" w:styleId="1CharChar">
    <w:name w:val="样式1 Char Char"/>
    <w:link w:val="12"/>
    <w:qFormat/>
    <w:rPr>
      <w:rFonts w:ascii="宋体" w:eastAsia="宋体"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581</Words>
  <Characters>3318</Characters>
  <Application>Microsoft Office Word</Application>
  <DocSecurity>0</DocSecurity>
  <Lines>27</Lines>
  <Paragraphs>7</Paragraphs>
  <ScaleCrop>false</ScaleCrop>
  <Company>P R C</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79</cp:revision>
  <dcterms:created xsi:type="dcterms:W3CDTF">2022-08-02T01:48:00Z</dcterms:created>
  <dcterms:modified xsi:type="dcterms:W3CDTF">2022-08-08T00:44:00Z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CC24FD6FB33B4FA9A1D6D4B6CFAC7C9B</vt:lpwstr>
  </property>
</Properties>
</file>