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outlineLvl w:val="0"/>
        <w:rPr>
          <w:rFonts w:hint="eastAsia" w:ascii="方正小标宋简体" w:hAnsi="宋体" w:eastAsia="方正小标宋简体"/>
          <w:sz w:val="36"/>
          <w:szCs w:val="36"/>
          <w:lang w:eastAsia="zh-CN"/>
        </w:rPr>
      </w:pPr>
      <w:r>
        <w:rPr>
          <w:rFonts w:hint="eastAsia" w:ascii="方正小标宋简体" w:hAnsi="宋体" w:eastAsia="方正小标宋简体"/>
          <w:sz w:val="36"/>
          <w:szCs w:val="36"/>
          <w:lang w:val="en-US" w:eastAsia="zh-CN"/>
        </w:rPr>
        <w:t>2022年度河北大学医学部教育教学改革培育</w:t>
      </w:r>
      <w:r>
        <w:rPr>
          <w:rFonts w:hint="eastAsia" w:ascii="方正小标宋简体" w:hAnsi="宋体" w:eastAsia="方正小标宋简体"/>
          <w:sz w:val="36"/>
          <w:szCs w:val="36"/>
          <w:lang w:eastAsia="zh-CN"/>
        </w:rPr>
        <w:t>项目结项结果</w:t>
      </w:r>
    </w:p>
    <w:p>
      <w:pPr>
        <w:spacing w:after="156" w:afterLines="50"/>
        <w:jc w:val="center"/>
        <w:outlineLvl w:val="0"/>
        <w:rPr>
          <w:rFonts w:hint="eastAsia" w:ascii="方正小标宋简体" w:hAnsi="宋体" w:eastAsia="方正小标宋简体"/>
          <w:sz w:val="28"/>
          <w:szCs w:val="28"/>
          <w:lang w:eastAsia="zh-CN"/>
        </w:rPr>
      </w:pPr>
    </w:p>
    <w:tbl>
      <w:tblPr>
        <w:tblStyle w:val="3"/>
        <w:tblW w:w="488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7"/>
        <w:gridCol w:w="7265"/>
        <w:gridCol w:w="1740"/>
        <w:gridCol w:w="1510"/>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ascii="黑体" w:hAnsi="黑体" w:eastAsia="黑体" w:cs="黑体"/>
                <w:bCs/>
                <w:sz w:val="28"/>
                <w:szCs w:val="28"/>
                <w:highlight w:val="none"/>
              </w:rPr>
            </w:pPr>
            <w:r>
              <w:rPr>
                <w:rFonts w:hint="eastAsia" w:ascii="方正小标宋简体" w:hAnsi="华文中宋" w:eastAsia="方正小标宋简体" w:cs="宋体"/>
                <w:b/>
                <w:bCs/>
                <w:color w:val="000000"/>
                <w:kern w:val="0"/>
                <w:sz w:val="28"/>
                <w:szCs w:val="28"/>
                <w:highlight w:val="none"/>
                <w:lang w:val="en-US" w:eastAsia="zh-CN"/>
              </w:rPr>
              <w:t>项目编号</w:t>
            </w:r>
          </w:p>
        </w:tc>
        <w:tc>
          <w:tcPr>
            <w:tcW w:w="2622" w:type="pct"/>
            <w:noWrap w:val="0"/>
            <w:vAlign w:val="center"/>
          </w:tcPr>
          <w:p>
            <w:pPr>
              <w:spacing w:line="380" w:lineRule="exact"/>
              <w:jc w:val="center"/>
              <w:rPr>
                <w:rFonts w:hint="eastAsia" w:ascii="黑体" w:hAnsi="黑体" w:eastAsia="黑体" w:cs="黑体"/>
                <w:bCs/>
                <w:sz w:val="28"/>
                <w:szCs w:val="28"/>
                <w:highlight w:val="none"/>
                <w:lang w:eastAsia="zh-CN"/>
              </w:rPr>
            </w:pPr>
            <w:r>
              <w:rPr>
                <w:rFonts w:hint="eastAsia" w:ascii="黑体" w:hAnsi="黑体" w:eastAsia="黑体" w:cs="黑体"/>
                <w:bCs/>
                <w:sz w:val="28"/>
                <w:szCs w:val="28"/>
                <w:highlight w:val="none"/>
                <w:lang w:eastAsia="zh-CN"/>
              </w:rPr>
              <w:t>项目名称</w:t>
            </w:r>
          </w:p>
        </w:tc>
        <w:tc>
          <w:tcPr>
            <w:tcW w:w="628" w:type="pct"/>
            <w:noWrap w:val="0"/>
            <w:vAlign w:val="center"/>
          </w:tcPr>
          <w:p>
            <w:pPr>
              <w:spacing w:line="380" w:lineRule="exact"/>
              <w:jc w:val="center"/>
              <w:rPr>
                <w:rFonts w:ascii="黑体" w:hAnsi="黑体" w:eastAsia="黑体" w:cs="黑体"/>
                <w:bCs/>
                <w:sz w:val="28"/>
                <w:szCs w:val="28"/>
                <w:highlight w:val="none"/>
              </w:rPr>
            </w:pPr>
            <w:r>
              <w:rPr>
                <w:rFonts w:hint="eastAsia" w:ascii="黑体" w:hAnsi="黑体" w:eastAsia="黑体" w:cs="黑体"/>
                <w:bCs/>
                <w:sz w:val="28"/>
                <w:szCs w:val="28"/>
                <w:highlight w:val="none"/>
                <w:lang w:eastAsia="zh-CN"/>
              </w:rPr>
              <w:t>项目</w:t>
            </w:r>
            <w:r>
              <w:rPr>
                <w:rFonts w:hint="eastAsia" w:ascii="黑体" w:hAnsi="黑体" w:eastAsia="黑体" w:cs="黑体"/>
                <w:bCs/>
                <w:sz w:val="28"/>
                <w:szCs w:val="28"/>
                <w:highlight w:val="none"/>
              </w:rPr>
              <w:t>负责人</w:t>
            </w:r>
          </w:p>
        </w:tc>
        <w:tc>
          <w:tcPr>
            <w:tcW w:w="545" w:type="pct"/>
            <w:noWrap w:val="0"/>
            <w:vAlign w:val="center"/>
          </w:tcPr>
          <w:p>
            <w:pPr>
              <w:spacing w:line="380" w:lineRule="exact"/>
              <w:jc w:val="center"/>
              <w:rPr>
                <w:rFonts w:ascii="黑体" w:hAnsi="黑体" w:eastAsia="黑体" w:cs="黑体"/>
                <w:bCs/>
                <w:sz w:val="28"/>
                <w:szCs w:val="28"/>
                <w:highlight w:val="none"/>
              </w:rPr>
            </w:pPr>
            <w:r>
              <w:rPr>
                <w:rFonts w:hint="eastAsia" w:ascii="黑体" w:hAnsi="黑体" w:eastAsia="黑体" w:cs="黑体"/>
                <w:bCs/>
                <w:sz w:val="28"/>
                <w:szCs w:val="28"/>
                <w:highlight w:val="none"/>
                <w:lang w:eastAsia="zh-CN"/>
              </w:rPr>
              <w:t>所在单位</w:t>
            </w:r>
          </w:p>
        </w:tc>
        <w:tc>
          <w:tcPr>
            <w:tcW w:w="505" w:type="pct"/>
            <w:noWrap w:val="0"/>
            <w:vAlign w:val="center"/>
          </w:tcPr>
          <w:p>
            <w:pPr>
              <w:spacing w:line="380" w:lineRule="exact"/>
              <w:jc w:val="center"/>
              <w:rPr>
                <w:rFonts w:hint="eastAsia" w:ascii="黑体" w:hAnsi="黑体" w:eastAsia="黑体" w:cs="黑体"/>
                <w:bCs/>
                <w:sz w:val="28"/>
                <w:szCs w:val="28"/>
                <w:highlight w:val="none"/>
                <w:lang w:eastAsia="zh-CN"/>
              </w:rPr>
            </w:pPr>
            <w:r>
              <w:rPr>
                <w:rFonts w:hint="eastAsia" w:ascii="黑体" w:hAnsi="黑体" w:eastAsia="黑体" w:cs="黑体"/>
                <w:bCs/>
                <w:sz w:val="28"/>
                <w:szCs w:val="28"/>
                <w:highlight w:val="none"/>
                <w:lang w:eastAsia="zh-CN"/>
              </w:rPr>
              <w:t>结项结果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方正小标宋简体" w:hAnsi="华文中宋" w:eastAsia="方正小标宋简体" w:cs="宋体"/>
                <w:b w:val="0"/>
                <w:bCs w:val="0"/>
                <w:color w:val="000000"/>
                <w:kern w:val="0"/>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YXBJG-2022-1</w:t>
            </w:r>
          </w:p>
        </w:tc>
        <w:tc>
          <w:tcPr>
            <w:tcW w:w="2622"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多学科交叉视角下临床医学复合型人才培养模式的探索</w:t>
            </w:r>
          </w:p>
        </w:tc>
        <w:tc>
          <w:tcPr>
            <w:tcW w:w="628"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王红杰</w:t>
            </w:r>
          </w:p>
        </w:tc>
        <w:tc>
          <w:tcPr>
            <w:tcW w:w="54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基础医学院</w:t>
            </w:r>
          </w:p>
        </w:tc>
        <w:tc>
          <w:tcPr>
            <w:tcW w:w="50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方正小标宋简体" w:hAnsi="华文中宋" w:eastAsia="方正小标宋简体" w:cs="宋体"/>
                <w:b w:val="0"/>
                <w:bCs w:val="0"/>
                <w:color w:val="000000"/>
                <w:kern w:val="0"/>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YXBJG-2022-2</w:t>
            </w:r>
          </w:p>
        </w:tc>
        <w:tc>
          <w:tcPr>
            <w:tcW w:w="2622"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 xml:space="preserve">一流本科课程建设背景下《生物化学与分子生物学》课程教学模式的探索与实践  </w:t>
            </w:r>
          </w:p>
        </w:tc>
        <w:tc>
          <w:tcPr>
            <w:tcW w:w="628"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王怀颖</w:t>
            </w:r>
          </w:p>
        </w:tc>
        <w:tc>
          <w:tcPr>
            <w:tcW w:w="54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基础医学院</w:t>
            </w:r>
          </w:p>
        </w:tc>
        <w:tc>
          <w:tcPr>
            <w:tcW w:w="50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方正小标宋简体" w:hAnsi="华文中宋" w:eastAsia="方正小标宋简体" w:cs="宋体"/>
                <w:b w:val="0"/>
                <w:bCs w:val="0"/>
                <w:color w:val="000000"/>
                <w:kern w:val="0"/>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YXBJG-2022-3</w:t>
            </w:r>
          </w:p>
        </w:tc>
        <w:tc>
          <w:tcPr>
            <w:tcW w:w="2622"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新型发光碳点在生物传感方面的应用研究</w:t>
            </w:r>
          </w:p>
        </w:tc>
        <w:tc>
          <w:tcPr>
            <w:tcW w:w="628"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李娜</w:t>
            </w:r>
          </w:p>
        </w:tc>
        <w:tc>
          <w:tcPr>
            <w:tcW w:w="54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基础医学院</w:t>
            </w:r>
          </w:p>
        </w:tc>
        <w:tc>
          <w:tcPr>
            <w:tcW w:w="50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方正小标宋简体" w:hAnsi="华文中宋" w:eastAsia="方正小标宋简体" w:cs="宋体"/>
                <w:b w:val="0"/>
                <w:bCs w:val="0"/>
                <w:color w:val="000000"/>
                <w:kern w:val="0"/>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YXBJG-2022-5</w:t>
            </w:r>
          </w:p>
        </w:tc>
        <w:tc>
          <w:tcPr>
            <w:tcW w:w="2622"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基于SPOC的线上线下混合式教学</w:t>
            </w:r>
            <w:bookmarkStart w:id="0" w:name="_GoBack"/>
            <w:bookmarkEnd w:id="0"/>
            <w:r>
              <w:rPr>
                <w:rFonts w:hint="eastAsia" w:ascii="楷体" w:hAnsi="楷体" w:eastAsia="楷体" w:cs="楷体"/>
                <w:b w:val="0"/>
                <w:bCs w:val="0"/>
                <w:kern w:val="2"/>
                <w:sz w:val="24"/>
                <w:szCs w:val="24"/>
                <w:highlight w:val="none"/>
                <w:lang w:val="en-US" w:eastAsia="zh-CN" w:bidi="ar-SA"/>
              </w:rPr>
              <w:t>模式在药理学教学中的应用</w:t>
            </w:r>
          </w:p>
        </w:tc>
        <w:tc>
          <w:tcPr>
            <w:tcW w:w="628"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李少春</w:t>
            </w:r>
          </w:p>
        </w:tc>
        <w:tc>
          <w:tcPr>
            <w:tcW w:w="54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基础医学院</w:t>
            </w:r>
          </w:p>
        </w:tc>
        <w:tc>
          <w:tcPr>
            <w:tcW w:w="50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方正小标宋简体" w:hAnsi="华文中宋" w:eastAsia="方正小标宋简体" w:cs="宋体"/>
                <w:b w:val="0"/>
                <w:bCs w:val="0"/>
                <w:color w:val="000000"/>
                <w:kern w:val="0"/>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YXBJG-2022-6</w:t>
            </w:r>
          </w:p>
        </w:tc>
        <w:tc>
          <w:tcPr>
            <w:tcW w:w="2622"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基础医学院PBL教师队伍建设</w:t>
            </w:r>
          </w:p>
        </w:tc>
        <w:tc>
          <w:tcPr>
            <w:tcW w:w="628"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史树堂</w:t>
            </w:r>
          </w:p>
        </w:tc>
        <w:tc>
          <w:tcPr>
            <w:tcW w:w="54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基础医学院</w:t>
            </w:r>
          </w:p>
        </w:tc>
        <w:tc>
          <w:tcPr>
            <w:tcW w:w="50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方正小标宋简体" w:hAnsi="华文中宋" w:eastAsia="方正小标宋简体" w:cs="宋体"/>
                <w:b w:val="0"/>
                <w:bCs w:val="0"/>
                <w:color w:val="000000"/>
                <w:kern w:val="0"/>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YXBJG-2022-7</w:t>
            </w:r>
          </w:p>
        </w:tc>
        <w:tc>
          <w:tcPr>
            <w:tcW w:w="2622"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多视角下的《医学伦理学》课程建设与教学团队构建</w:t>
            </w:r>
          </w:p>
        </w:tc>
        <w:tc>
          <w:tcPr>
            <w:tcW w:w="628"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杨永滨</w:t>
            </w:r>
          </w:p>
        </w:tc>
        <w:tc>
          <w:tcPr>
            <w:tcW w:w="54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基础医学院</w:t>
            </w:r>
          </w:p>
        </w:tc>
        <w:tc>
          <w:tcPr>
            <w:tcW w:w="50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方正小标宋简体" w:hAnsi="华文中宋" w:eastAsia="方正小标宋简体" w:cs="宋体"/>
                <w:b w:val="0"/>
                <w:bCs w:val="0"/>
                <w:color w:val="000000"/>
                <w:kern w:val="0"/>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YXBJG-2022-8</w:t>
            </w:r>
          </w:p>
        </w:tc>
        <w:tc>
          <w:tcPr>
            <w:tcW w:w="2622"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线上线下混合式教学模式在《细胞生物学》课程中的探索</w:t>
            </w:r>
          </w:p>
        </w:tc>
        <w:tc>
          <w:tcPr>
            <w:tcW w:w="628"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李文艳</w:t>
            </w:r>
          </w:p>
        </w:tc>
        <w:tc>
          <w:tcPr>
            <w:tcW w:w="54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基础医学院</w:t>
            </w:r>
          </w:p>
        </w:tc>
        <w:tc>
          <w:tcPr>
            <w:tcW w:w="50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b w:val="0"/>
                <w:bCs w:val="0"/>
                <w:kern w:val="2"/>
                <w:sz w:val="24"/>
                <w:szCs w:val="24"/>
                <w:highlight w:val="none"/>
                <w:lang w:val="en-US" w:eastAsia="zh-CN" w:bidi="ar-SA"/>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b w:val="0"/>
                <w:bCs w:val="0"/>
                <w:kern w:val="2"/>
                <w:sz w:val="24"/>
                <w:szCs w:val="24"/>
                <w:highlight w:val="none"/>
                <w:lang w:val="en-US" w:eastAsia="zh-CN" w:bidi="ar-SA"/>
              </w:rPr>
              <w:t>9</w:t>
            </w:r>
          </w:p>
        </w:tc>
        <w:tc>
          <w:tcPr>
            <w:tcW w:w="2622"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“学科交叉的魅力”名师系列讲座</w:t>
            </w:r>
          </w:p>
        </w:tc>
        <w:tc>
          <w:tcPr>
            <w:tcW w:w="628"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靳祎</w:t>
            </w:r>
          </w:p>
        </w:tc>
        <w:tc>
          <w:tcPr>
            <w:tcW w:w="54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基础医学院</w:t>
            </w:r>
          </w:p>
        </w:tc>
        <w:tc>
          <w:tcPr>
            <w:tcW w:w="50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b w:val="0"/>
                <w:bCs w:val="0"/>
                <w:kern w:val="2"/>
                <w:sz w:val="24"/>
                <w:szCs w:val="24"/>
                <w:highlight w:val="none"/>
                <w:lang w:val="en-US" w:eastAsia="zh-CN" w:bidi="ar-SA"/>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b w:val="0"/>
                <w:bCs w:val="0"/>
                <w:kern w:val="2"/>
                <w:sz w:val="24"/>
                <w:szCs w:val="24"/>
                <w:highlight w:val="none"/>
                <w:lang w:val="en-US" w:eastAsia="zh-CN" w:bidi="ar-SA"/>
              </w:rPr>
              <w:t>10</w:t>
            </w:r>
          </w:p>
        </w:tc>
        <w:tc>
          <w:tcPr>
            <w:tcW w:w="2622"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“医学+X”理念融入学生第二课堂活动的探索与实践</w:t>
            </w:r>
          </w:p>
        </w:tc>
        <w:tc>
          <w:tcPr>
            <w:tcW w:w="628"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代军</w:t>
            </w:r>
          </w:p>
        </w:tc>
        <w:tc>
          <w:tcPr>
            <w:tcW w:w="54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基础医学院</w:t>
            </w:r>
          </w:p>
        </w:tc>
        <w:tc>
          <w:tcPr>
            <w:tcW w:w="50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b w:val="0"/>
                <w:bCs w:val="0"/>
                <w:kern w:val="2"/>
                <w:sz w:val="24"/>
                <w:szCs w:val="24"/>
                <w:highlight w:val="none"/>
                <w:lang w:val="en-US" w:eastAsia="zh-CN" w:bidi="ar-SA"/>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b w:val="0"/>
                <w:bCs w:val="0"/>
                <w:kern w:val="2"/>
                <w:sz w:val="24"/>
                <w:szCs w:val="24"/>
                <w:highlight w:val="none"/>
                <w:lang w:val="en-US" w:eastAsia="zh-CN" w:bidi="ar-SA"/>
              </w:rPr>
              <w:t>11</w:t>
            </w:r>
          </w:p>
        </w:tc>
        <w:tc>
          <w:tcPr>
            <w:tcW w:w="2622"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基于多元化、多学科交叉的中医本科教学平台融合机制研究与实践</w:t>
            </w:r>
          </w:p>
        </w:tc>
        <w:tc>
          <w:tcPr>
            <w:tcW w:w="628"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李远</w:t>
            </w:r>
          </w:p>
        </w:tc>
        <w:tc>
          <w:tcPr>
            <w:tcW w:w="54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中医学院</w:t>
            </w:r>
          </w:p>
        </w:tc>
        <w:tc>
          <w:tcPr>
            <w:tcW w:w="50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b w:val="0"/>
                <w:bCs w:val="0"/>
                <w:kern w:val="2"/>
                <w:sz w:val="24"/>
                <w:szCs w:val="24"/>
                <w:highlight w:val="none"/>
                <w:lang w:val="en-US" w:eastAsia="zh-CN" w:bidi="ar-SA"/>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b w:val="0"/>
                <w:bCs w:val="0"/>
                <w:kern w:val="2"/>
                <w:sz w:val="24"/>
                <w:szCs w:val="24"/>
                <w:highlight w:val="none"/>
                <w:lang w:val="en-US" w:eastAsia="zh-CN" w:bidi="ar-SA"/>
              </w:rPr>
              <w:t>12</w:t>
            </w:r>
          </w:p>
        </w:tc>
        <w:tc>
          <w:tcPr>
            <w:tcW w:w="2622"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中药药剂学产业化实训教学模式探索</w:t>
            </w:r>
          </w:p>
        </w:tc>
        <w:tc>
          <w:tcPr>
            <w:tcW w:w="628"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郝丽静</w:t>
            </w:r>
          </w:p>
        </w:tc>
        <w:tc>
          <w:tcPr>
            <w:tcW w:w="54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中医学院</w:t>
            </w:r>
          </w:p>
        </w:tc>
        <w:tc>
          <w:tcPr>
            <w:tcW w:w="50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b w:val="0"/>
                <w:bCs w:val="0"/>
                <w:kern w:val="2"/>
                <w:sz w:val="24"/>
                <w:szCs w:val="24"/>
                <w:highlight w:val="none"/>
                <w:lang w:val="en-US" w:eastAsia="zh-CN" w:bidi="ar-SA"/>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b w:val="0"/>
                <w:bCs w:val="0"/>
                <w:kern w:val="2"/>
                <w:sz w:val="24"/>
                <w:szCs w:val="24"/>
                <w:highlight w:val="none"/>
                <w:lang w:val="en-US" w:eastAsia="zh-CN" w:bidi="ar-SA"/>
              </w:rPr>
              <w:t>13</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基于“一气周流”整体观念的针灸学教学模式研究与实践</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张继洪</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中医学院</w:t>
            </w:r>
          </w:p>
        </w:tc>
        <w:tc>
          <w:tcPr>
            <w:tcW w:w="50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b w:val="0"/>
                <w:bCs w:val="0"/>
                <w:kern w:val="2"/>
                <w:sz w:val="24"/>
                <w:szCs w:val="24"/>
                <w:highlight w:val="none"/>
                <w:lang w:val="en-US" w:eastAsia="zh-CN" w:bidi="ar-SA"/>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b w:val="0"/>
                <w:bCs w:val="0"/>
                <w:kern w:val="2"/>
                <w:sz w:val="24"/>
                <w:szCs w:val="24"/>
                <w:highlight w:val="none"/>
                <w:lang w:val="en-US" w:eastAsia="zh-CN" w:bidi="ar-SA"/>
              </w:rPr>
              <w:t>14</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 xml:space="preserve">面向医学生的《文史哲与中医药》课程建设与实践     </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耿丽梅</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中医学院</w:t>
            </w:r>
          </w:p>
        </w:tc>
        <w:tc>
          <w:tcPr>
            <w:tcW w:w="50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b w:val="0"/>
                <w:bCs w:val="0"/>
                <w:kern w:val="2"/>
                <w:sz w:val="24"/>
                <w:szCs w:val="24"/>
                <w:highlight w:val="none"/>
                <w:lang w:val="en-US" w:eastAsia="zh-CN" w:bidi="ar-SA"/>
              </w:rPr>
              <w:t>15</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 xml:space="preserve">基于中药产业链的《中药鉴定学见习》课程优化研究 </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张百霞</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中医学院</w:t>
            </w:r>
          </w:p>
        </w:tc>
        <w:tc>
          <w:tcPr>
            <w:tcW w:w="50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b w:val="0"/>
                <w:bCs w:val="0"/>
                <w:kern w:val="2"/>
                <w:sz w:val="24"/>
                <w:szCs w:val="24"/>
                <w:highlight w:val="none"/>
                <w:lang w:val="en-US" w:eastAsia="zh-CN" w:bidi="ar-SA"/>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b w:val="0"/>
                <w:bCs w:val="0"/>
                <w:kern w:val="2"/>
                <w:sz w:val="24"/>
                <w:szCs w:val="24"/>
                <w:highlight w:val="none"/>
                <w:lang w:val="en-US" w:eastAsia="zh-CN" w:bidi="ar-SA"/>
              </w:rPr>
              <w:t>16</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 xml:space="preserve">“医学+X”模式下医学生实践教学改革的探索与研究  </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高龙霞</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中医学院</w:t>
            </w:r>
          </w:p>
        </w:tc>
        <w:tc>
          <w:tcPr>
            <w:tcW w:w="505" w:type="pct"/>
            <w:noWrap w:val="0"/>
            <w:vAlign w:val="center"/>
          </w:tcPr>
          <w:p>
            <w:pPr>
              <w:spacing w:line="380" w:lineRule="exact"/>
              <w:jc w:val="center"/>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b w:val="0"/>
                <w:bCs w:val="0"/>
                <w:kern w:val="2"/>
                <w:sz w:val="24"/>
                <w:szCs w:val="24"/>
                <w:highlight w:val="none"/>
                <w:lang w:val="en-US" w:eastAsia="zh-CN" w:bidi="ar-SA"/>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b w:val="0"/>
                <w:bCs w:val="0"/>
                <w:kern w:val="2"/>
                <w:sz w:val="24"/>
                <w:szCs w:val="24"/>
                <w:highlight w:val="none"/>
                <w:lang w:val="en-US" w:eastAsia="zh-CN" w:bidi="ar-SA"/>
              </w:rPr>
              <w:t>17</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以提升实践创新能力为核心的卫生检验与检疫国家一流本科专业人才培养模式研究</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王志强</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公共卫生学院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18</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项目化学习设计与实施：学习素养视角下的一流本科课程建构</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牛璨</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公共卫生学院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19</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“装配型”三层次递进式卫生检验与检疫一流专业课程群教学模式研究</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辛雪莲</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公共卫生学院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20</w:t>
            </w:r>
          </w:p>
        </w:tc>
        <w:tc>
          <w:tcPr>
            <w:tcW w:w="2622" w:type="pct"/>
            <w:noWrap w:val="0"/>
            <w:vAlign w:val="center"/>
          </w:tcPr>
          <w:p>
            <w:pPr>
              <w:adjustRightInd w:val="0"/>
              <w:snapToGrid w:val="0"/>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一流专业建设背景下课程思政建设——以卫生检验检疫专业《分析化学》教学为例</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杨晓溪</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公共卫生学院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21</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后疫情背景下融合公共卫生思想教学试验——医学统计学新教学模式探索</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刘畅</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公共卫生学院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22</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疫情防控常态化多视角下公共卫生专业课程教学实践探索</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张宪</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公共卫生学院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23</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新型材料助力细菌学检验课程建设研究</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尹明远</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公共卫生学院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24</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加强护理本科生人文关怀能力培养的教学体系构建</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任海静</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护理学院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25</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人文关怀教育在护理学基础实验教学中的应用</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石潇洋</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护理学院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26</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“课程思政、知识传授、能力培养”深度融合的教学模式——以循证护理学课程为例</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杜少英</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护理学院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27</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《社区护理学》线上线下混合式金课建设探究</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杜小静</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护理学院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28</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新冠肺炎疫情背景下传染病护理学混合式教学模式的研究</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杨兰兰</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护理学院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29</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面向护理学生的“护理+管理”专题讲座</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杨栋慧</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护理学院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30</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CBL结合TBL教学模式在骨外科临床实习教学实践中的应用</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陈康</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临床医学院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31</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内科学课程思政教学体系的建设与实践探索</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李亚芹</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临床医学院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32</w:t>
            </w:r>
          </w:p>
        </w:tc>
        <w:tc>
          <w:tcPr>
            <w:tcW w:w="2622" w:type="pct"/>
            <w:noWrap w:val="0"/>
            <w:vAlign w:val="center"/>
          </w:tcPr>
          <w:p>
            <w:pPr>
              <w:spacing w:line="380" w:lineRule="exact"/>
              <w:jc w:val="left"/>
              <w:rPr>
                <w:rFonts w:hint="eastAsia" w:ascii="楷体" w:hAnsi="楷体" w:eastAsia="楷体" w:cs="楷体"/>
                <w:sz w:val="24"/>
                <w:szCs w:val="24"/>
                <w:highlight w:val="none"/>
              </w:rPr>
            </w:pPr>
          </w:p>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突发状况模拟在急诊教学中的应用</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马建华</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临床医学院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33</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3D打印技术在骨科教学中的应用</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马铮</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临床医学院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34</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融合医学人文的外科学PBL课程思政教学研究</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吴剑飞</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临床医学院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35</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情景模拟教学对急诊降阶梯思维与人文交流的培养</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张红强</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临床医学院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36</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医学本科生医患沟通能力的评估及方法讲授</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张新欣</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临床医学院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37</w:t>
            </w:r>
          </w:p>
        </w:tc>
        <w:tc>
          <w:tcPr>
            <w:tcW w:w="26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“课程思政”视域下的康复护理学专业实践课程教学改革探索</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刘涓</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临床医学院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38</w:t>
            </w:r>
          </w:p>
        </w:tc>
        <w:tc>
          <w:tcPr>
            <w:tcW w:w="26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标准化病人在临床医学专业诊断学实践教学中的应用</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张兰芳</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临床医学院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39</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融合课程思政的医学本科教学改革研究与实践----以《重症医学》为例</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徐放</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临床医学院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40</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用情景模拟联合TBL法为非麻醉专业实习生进行麻醉临床技能教学的效果分析</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张志敏</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临床医学院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41</w:t>
            </w:r>
          </w:p>
        </w:tc>
        <w:tc>
          <w:tcPr>
            <w:tcW w:w="2622" w:type="pct"/>
            <w:noWrap w:val="0"/>
            <w:vAlign w:val="center"/>
          </w:tcPr>
          <w:p>
            <w:pPr>
              <w:spacing w:line="380" w:lineRule="exact"/>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专业课与文献检索联合教学模式在眼科临床实践教学中的应用与探索</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王晶</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临床医学院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42</w:t>
            </w:r>
          </w:p>
        </w:tc>
        <w:tc>
          <w:tcPr>
            <w:tcW w:w="2622"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color w:val="auto"/>
                <w:sz w:val="24"/>
                <w:szCs w:val="24"/>
                <w:highlight w:val="none"/>
                <w:lang w:val="en-US" w:eastAsia="zh-CN"/>
              </w:rPr>
              <w:t>科教融合视域下跨学科应用型复合型新医科人才培养课程建设与实践</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张宏馨</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综合实验中心</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43</w:t>
            </w:r>
          </w:p>
        </w:tc>
        <w:tc>
          <w:tcPr>
            <w:tcW w:w="2622"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人工智能结合OCT医学影像技术在疾病诊疗领域应用的教学研究</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苏亚</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物理科学与技术学院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44</w:t>
            </w:r>
          </w:p>
        </w:tc>
        <w:tc>
          <w:tcPr>
            <w:tcW w:w="2622"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《音乐治疗导论》</w:t>
            </w:r>
            <w:r>
              <w:rPr>
                <w:rFonts w:hint="eastAsia" w:ascii="楷体" w:hAnsi="楷体" w:eastAsia="楷体" w:cs="楷体"/>
                <w:sz w:val="24"/>
                <w:szCs w:val="24"/>
                <w:highlight w:val="none"/>
                <w:lang w:eastAsia="zh-CN"/>
              </w:rPr>
              <w:t>通识教育课程建设</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李雪</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艺术学院</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45</w:t>
            </w:r>
          </w:p>
        </w:tc>
        <w:tc>
          <w:tcPr>
            <w:tcW w:w="2622"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面向医学生的“医学+X”跨学科通识教育课程建设--以《 Python语言程序设计》课程为例</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牛齐明</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计算机教学部</w:t>
            </w:r>
          </w:p>
        </w:tc>
        <w:tc>
          <w:tcPr>
            <w:tcW w:w="50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46</w:t>
            </w:r>
          </w:p>
        </w:tc>
        <w:tc>
          <w:tcPr>
            <w:tcW w:w="2622"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lang w:val="en-US" w:eastAsia="zh-CN"/>
              </w:rPr>
              <w:t>习近平辩证思维方法融入</w:t>
            </w:r>
            <w:r>
              <w:rPr>
                <w:rFonts w:hint="eastAsia" w:ascii="楷体" w:hAnsi="楷体" w:eastAsia="楷体" w:cs="楷体"/>
                <w:sz w:val="24"/>
                <w:szCs w:val="24"/>
                <w:highlight w:val="none"/>
              </w:rPr>
              <w:t>智慧+病理学精准教学模式</w:t>
            </w:r>
            <w:r>
              <w:rPr>
                <w:rFonts w:hint="eastAsia" w:ascii="楷体" w:hAnsi="楷体" w:eastAsia="楷体" w:cs="楷体"/>
                <w:sz w:val="24"/>
                <w:szCs w:val="24"/>
                <w:highlight w:val="none"/>
                <w:lang w:val="en-US" w:eastAsia="zh-CN"/>
              </w:rPr>
              <w:t>探究</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lang w:val="en-US" w:eastAsia="zh-CN"/>
              </w:rPr>
              <w:t>杨宣</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lang w:val="en-US" w:eastAsia="zh-CN"/>
              </w:rPr>
              <w:t>马克思主义学院</w:t>
            </w:r>
          </w:p>
        </w:tc>
        <w:tc>
          <w:tcPr>
            <w:tcW w:w="505" w:type="pct"/>
            <w:noWrap w:val="0"/>
            <w:vAlign w:val="center"/>
          </w:tcPr>
          <w:p>
            <w:pPr>
              <w:spacing w:line="380" w:lineRule="exact"/>
              <w:jc w:val="center"/>
              <w:rPr>
                <w:rFonts w:hint="eastAsia" w:ascii="楷体" w:hAnsi="楷体" w:eastAsia="楷体" w:cs="楷体"/>
                <w:sz w:val="24"/>
                <w:szCs w:val="24"/>
                <w:highlight w:val="none"/>
                <w:lang w:val="en-US" w:eastAsia="zh-CN"/>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eastAsia="zh-CN"/>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47</w:t>
            </w:r>
          </w:p>
        </w:tc>
        <w:tc>
          <w:tcPr>
            <w:tcW w:w="2622"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“医学+人工智能”的跨学科特色课程建设</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王光磊</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lang w:val="en-US" w:eastAsia="zh-CN"/>
              </w:rPr>
              <w:t>电子信息工程学院</w:t>
            </w:r>
          </w:p>
        </w:tc>
        <w:tc>
          <w:tcPr>
            <w:tcW w:w="505" w:type="pct"/>
            <w:noWrap w:val="0"/>
            <w:vAlign w:val="center"/>
          </w:tcPr>
          <w:p>
            <w:pPr>
              <w:spacing w:line="380" w:lineRule="exact"/>
              <w:jc w:val="center"/>
              <w:rPr>
                <w:rFonts w:hint="eastAsia" w:ascii="楷体" w:hAnsi="楷体" w:eastAsia="楷体" w:cs="楷体"/>
                <w:sz w:val="24"/>
                <w:szCs w:val="24"/>
                <w:highlight w:val="none"/>
                <w:lang w:val="en-US" w:eastAsia="zh-CN"/>
              </w:rPr>
            </w:pPr>
            <w:r>
              <w:rPr>
                <w:rFonts w:hint="eastAsia" w:ascii="楷体" w:hAnsi="楷体" w:eastAsia="楷体" w:cs="楷体"/>
                <w:b w:val="0"/>
                <w:bCs w:val="0"/>
                <w:kern w:val="2"/>
                <w:sz w:val="24"/>
                <w:szCs w:val="24"/>
                <w:highlight w:val="none"/>
                <w:lang w:val="en-US" w:eastAsia="zh-CN" w:bidi="ar-SA"/>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9" w:type="pct"/>
            <w:noWrap w:val="0"/>
            <w:vAlign w:val="center"/>
          </w:tcPr>
          <w:p>
            <w:pPr>
              <w:spacing w:line="380" w:lineRule="exact"/>
              <w:jc w:val="center"/>
              <w:rPr>
                <w:rFonts w:hint="default" w:ascii="楷体" w:hAnsi="楷体" w:eastAsia="楷体" w:cs="楷体"/>
                <w:sz w:val="24"/>
                <w:szCs w:val="24"/>
                <w:highlight w:val="none"/>
                <w:lang w:val="en-US"/>
              </w:rPr>
            </w:pPr>
            <w:r>
              <w:rPr>
                <w:rFonts w:hint="eastAsia" w:ascii="方正小标宋简体" w:hAnsi="华文中宋" w:eastAsia="方正小标宋简体" w:cs="宋体"/>
                <w:b w:val="0"/>
                <w:bCs w:val="0"/>
                <w:color w:val="000000"/>
                <w:kern w:val="0"/>
                <w:sz w:val="24"/>
                <w:szCs w:val="24"/>
                <w:highlight w:val="none"/>
                <w:lang w:val="en-US" w:eastAsia="zh-CN"/>
              </w:rPr>
              <w:t>YXBJG-2022-</w:t>
            </w:r>
            <w:r>
              <w:rPr>
                <w:rFonts w:hint="eastAsia" w:ascii="楷体" w:hAnsi="楷体" w:eastAsia="楷体" w:cs="楷体"/>
                <w:sz w:val="24"/>
                <w:szCs w:val="24"/>
                <w:highlight w:val="none"/>
                <w:lang w:val="en-US" w:eastAsia="zh-CN"/>
              </w:rPr>
              <w:t>48</w:t>
            </w:r>
          </w:p>
        </w:tc>
        <w:tc>
          <w:tcPr>
            <w:tcW w:w="2622"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rPr>
              <w:t>“医学人工智能导论”课程建设</w:t>
            </w:r>
          </w:p>
        </w:tc>
        <w:tc>
          <w:tcPr>
            <w:tcW w:w="628"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lang w:eastAsia="zh-CN"/>
              </w:rPr>
              <w:t>袁方</w:t>
            </w:r>
          </w:p>
        </w:tc>
        <w:tc>
          <w:tcPr>
            <w:tcW w:w="545" w:type="pct"/>
            <w:noWrap w:val="0"/>
            <w:vAlign w:val="center"/>
          </w:tcPr>
          <w:p>
            <w:pPr>
              <w:spacing w:line="380" w:lineRule="exact"/>
              <w:jc w:val="center"/>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lang w:val="en-US" w:eastAsia="zh-CN"/>
              </w:rPr>
              <w:t>计算机教学部</w:t>
            </w:r>
          </w:p>
        </w:tc>
        <w:tc>
          <w:tcPr>
            <w:tcW w:w="505" w:type="pct"/>
            <w:noWrap w:val="0"/>
            <w:vAlign w:val="center"/>
          </w:tcPr>
          <w:p>
            <w:pPr>
              <w:spacing w:line="380" w:lineRule="exact"/>
              <w:jc w:val="center"/>
              <w:rPr>
                <w:rFonts w:hint="eastAsia" w:ascii="楷体" w:hAnsi="楷体" w:eastAsia="楷体" w:cs="楷体"/>
                <w:sz w:val="24"/>
                <w:szCs w:val="24"/>
                <w:highlight w:val="none"/>
                <w:lang w:val="en-US" w:eastAsia="zh-CN"/>
              </w:rPr>
            </w:pPr>
            <w:r>
              <w:rPr>
                <w:rFonts w:hint="eastAsia" w:ascii="楷体" w:hAnsi="楷体" w:eastAsia="楷体" w:cs="楷体"/>
                <w:b w:val="0"/>
                <w:bCs w:val="0"/>
                <w:kern w:val="2"/>
                <w:sz w:val="24"/>
                <w:szCs w:val="24"/>
                <w:highlight w:val="none"/>
                <w:lang w:val="en-US" w:eastAsia="zh-CN" w:bidi="ar-SA"/>
              </w:rPr>
              <w:t>通过</w:t>
            </w:r>
          </w:p>
        </w:tc>
      </w:tr>
    </w:tbl>
    <w:p>
      <w:pPr>
        <w:numPr>
          <w:ilvl w:val="0"/>
          <w:numId w:val="0"/>
        </w:numPr>
        <w:spacing w:line="380" w:lineRule="exact"/>
        <w:jc w:val="right"/>
        <w:rPr>
          <w:rFonts w:hint="default" w:eastAsia="仿宋_GB2312" w:cs="Times New Roman"/>
          <w:lang w:val="en-US" w:eastAsia="zh-CN"/>
        </w:rPr>
      </w:pPr>
      <w:r>
        <w:rPr>
          <w:rFonts w:hint="eastAsia" w:eastAsia="仿宋_GB2312" w:cs="Times New Roman"/>
          <w:sz w:val="28"/>
          <w:szCs w:val="28"/>
          <w:lang w:val="en-US" w:eastAsia="zh-CN"/>
        </w:rPr>
        <w:t>结项日期：2023年03月02日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NmI2ZmE3YmM2Zjc3ZGFlZjA4N2NjYTRiYTJlYTkifQ=="/>
  </w:docVars>
  <w:rsids>
    <w:rsidRoot w:val="7F9B16C7"/>
    <w:rsid w:val="00F175BB"/>
    <w:rsid w:val="045F7686"/>
    <w:rsid w:val="0DAE01E6"/>
    <w:rsid w:val="0E366F36"/>
    <w:rsid w:val="0E463899"/>
    <w:rsid w:val="0EDB533A"/>
    <w:rsid w:val="0F4F5926"/>
    <w:rsid w:val="108E2622"/>
    <w:rsid w:val="16A40FD6"/>
    <w:rsid w:val="18897C86"/>
    <w:rsid w:val="1A03102F"/>
    <w:rsid w:val="1B0E666A"/>
    <w:rsid w:val="20D865EF"/>
    <w:rsid w:val="25861FAA"/>
    <w:rsid w:val="291D591B"/>
    <w:rsid w:val="2A635327"/>
    <w:rsid w:val="2A790107"/>
    <w:rsid w:val="2B83778A"/>
    <w:rsid w:val="2FC05917"/>
    <w:rsid w:val="32861122"/>
    <w:rsid w:val="35534514"/>
    <w:rsid w:val="36050B67"/>
    <w:rsid w:val="362C60A5"/>
    <w:rsid w:val="36D3357D"/>
    <w:rsid w:val="37375EFB"/>
    <w:rsid w:val="3FB16DA4"/>
    <w:rsid w:val="41DE6CE3"/>
    <w:rsid w:val="423B657A"/>
    <w:rsid w:val="46A5185B"/>
    <w:rsid w:val="4CD22FFF"/>
    <w:rsid w:val="4E9575C9"/>
    <w:rsid w:val="54E73B89"/>
    <w:rsid w:val="55EC6EE7"/>
    <w:rsid w:val="589F492D"/>
    <w:rsid w:val="5B3A183D"/>
    <w:rsid w:val="5BAD6AA5"/>
    <w:rsid w:val="5D39649A"/>
    <w:rsid w:val="5F677707"/>
    <w:rsid w:val="5F6F52CE"/>
    <w:rsid w:val="5FA16801"/>
    <w:rsid w:val="61717CA7"/>
    <w:rsid w:val="65352A5F"/>
    <w:rsid w:val="6BF00F69"/>
    <w:rsid w:val="6DD44130"/>
    <w:rsid w:val="714B28C6"/>
    <w:rsid w:val="769B1492"/>
    <w:rsid w:val="772A263A"/>
    <w:rsid w:val="7BA9149B"/>
    <w:rsid w:val="7DCA0AF5"/>
    <w:rsid w:val="7F9B1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1721</Words>
  <Characters>2324</Characters>
  <Lines>0</Lines>
  <Paragraphs>0</Paragraphs>
  <TotalTime>3</TotalTime>
  <ScaleCrop>false</ScaleCrop>
  <LinksUpToDate>false</LinksUpToDate>
  <CharactersWithSpaces>2335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2019-11-25T03:13:00Z</dcterms:created>
  <dc:creator>靓靓</dc:creator>
  <cp:lastModifiedBy>Administrator</cp:lastModifiedBy>
  <cp:lastPrinted>2023-03-01T03:12:16Z</cp:lastPrinted>
  <dcterms:modified xsi:type="dcterms:W3CDTF">2023-03-01T03:13:37Z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DCB253D1ADD045449EC3F38C731B78C5</vt:lpwstr>
  </property>
</Properties>
</file>